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ru-RU"/>
        </w:rPr>
        <w:t xml:space="preserve">     </w:t>
      </w:r>
      <w:r>
        <w:drawing>
          <wp:inline distT="0" distB="0" distL="0" distR="0">
            <wp:extent cx="495300" cy="61912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t xml:space="preserve">                               </w:t>
      </w:r>
    </w:p>
    <w:p>
      <w:pPr>
        <w:pStyle w:val="12"/>
        <w:spacing w:line="276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КИРОВСКОГО РАЙОНА </w:t>
      </w:r>
    </w:p>
    <w:p>
      <w:pPr>
        <w:pStyle w:val="12"/>
        <w:ind w:firstLine="142"/>
        <w:jc w:val="center"/>
        <w:rPr>
          <w:b/>
          <w:sz w:val="16"/>
          <w:szCs w:val="16"/>
        </w:rPr>
      </w:pPr>
    </w:p>
    <w:p>
      <w:pPr>
        <w:pStyle w:val="12"/>
        <w:ind w:firstLine="142"/>
        <w:jc w:val="center"/>
        <w:rPr>
          <w:b/>
        </w:rPr>
      </w:pPr>
      <w:r>
        <w:rPr>
          <w:b/>
        </w:rPr>
        <w:t>РАСПОРЯЖЕНИЕ</w:t>
      </w:r>
    </w:p>
    <w:p>
      <w:pPr>
        <w:pStyle w:val="12"/>
        <w:jc w:val="center"/>
        <w:rPr>
          <w:b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</w:t>
      </w:r>
      <w:r>
        <w:rPr>
          <w:rFonts w:ascii="Times New Roman" w:hAnsi="Times New Roman" w:eastAsia="Times New Roman" w:cs="Times New Roman"/>
          <w:spacing w:val="60"/>
          <w:sz w:val="28"/>
          <w:szCs w:val="28"/>
        </w:rPr>
        <w:t xml:space="preserve">п.Кировский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-рк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</w:t>
      </w: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val="ru-RU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</w:rPr>
        <w:t>еречня функций</w:t>
      </w:r>
      <w:r>
        <w:rPr>
          <w:rFonts w:hint="default"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при реализации которых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возможно возникновение коррупционных рисков,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еречня должностей, замещение которых связано с коррупционными рисками,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арты коррупционных рисков</w:t>
      </w: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</w:rPr>
        <w:t xml:space="preserve"> в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района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leftChars="0" w:right="0" w:firstLine="658" w:firstLineChars="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Указа Президента Российской Федерации от 16.08.2021г. № 478 «О Национальном плане противодействия коррупции на 2021 - 2024 годы», </w:t>
      </w:r>
      <w:r>
        <w:rPr>
          <w:rFonts w:ascii="Times New Roman" w:hAnsi="Times New Roman"/>
          <w:sz w:val="28"/>
          <w:szCs w:val="28"/>
        </w:rPr>
        <w:t xml:space="preserve">постановления Губернатора Приморского края от 6 октября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г. № 99-пг «Об утверждении Программы противодействия коррупции в Приморском крае на 2021-2025 годы»,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на основании постановления </w:t>
      </w:r>
      <w:r>
        <w:rPr>
          <w:rFonts w:ascii="Times New Roman" w:hAnsi="Times New Roman"/>
          <w:sz w:val="28"/>
          <w:szCs w:val="28"/>
          <w:highlight w:val="none"/>
        </w:rPr>
        <w:t>Губернатора Приморского края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от 24.12.2020 г. № 186-пг «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highlight w:val="none"/>
          <w:lang w:val="ru" w:eastAsia="zh-CN" w:bidi="ar"/>
        </w:rPr>
        <w:t>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highlight w:val="none"/>
          <w:lang w:val="ru-RU" w:eastAsia="zh-CN" w:bidi="ar"/>
        </w:rPr>
        <w:t xml:space="preserve">, </w:t>
      </w:r>
      <w:r>
        <w:rPr>
          <w:rFonts w:hint="default" w:ascii="Times New Roman" w:hAnsi="Times New Roman"/>
          <w:sz w:val="28"/>
          <w:szCs w:val="28"/>
          <w:lang w:val="ru-RU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№ 4 от </w:t>
      </w:r>
      <w:r>
        <w:rPr>
          <w:rFonts w:hint="default"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.11.2021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заседания комиссии по противодействию коррупции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района:</w:t>
      </w:r>
    </w:p>
    <w:p>
      <w:pPr>
        <w:pStyle w:val="15"/>
        <w:numPr>
          <w:ilvl w:val="0"/>
          <w:numId w:val="1"/>
        </w:numPr>
        <w:shd w:val="clear" w:color="auto" w:fill="FFFFFF"/>
        <w:spacing w:before="120" w:after="312" w:line="360" w:lineRule="auto"/>
        <w:ind w:left="0" w:leftChars="0" w:firstLine="879" w:firstLineChars="31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Перечень функций территориальной избирательной комиссии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района, при реализации которых возможно возникновение коррупционных рисков (приложение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№1).</w:t>
      </w:r>
    </w:p>
    <w:p>
      <w:pPr>
        <w:pStyle w:val="15"/>
        <w:numPr>
          <w:ilvl w:val="0"/>
          <w:numId w:val="1"/>
        </w:numPr>
        <w:shd w:val="clear" w:color="auto" w:fill="FFFFFF"/>
        <w:spacing w:before="120" w:after="312" w:line="360" w:lineRule="auto"/>
        <w:ind w:left="0" w:leftChars="0" w:firstLine="879" w:firstLineChars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Перечень должностей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 замещение которых связано с коррупционными рисками (приложение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>
      <w:pPr>
        <w:pStyle w:val="15"/>
        <w:numPr>
          <w:ilvl w:val="0"/>
          <w:numId w:val="1"/>
        </w:numPr>
        <w:shd w:val="clear" w:color="auto" w:fill="FFFFFF"/>
        <w:spacing w:before="120" w:after="312" w:line="360" w:lineRule="auto"/>
        <w:ind w:left="0" w:leftChars="0" w:firstLine="879" w:firstLineChars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Карту коррупционных рисков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5"/>
        <w:numPr>
          <w:numId w:val="0"/>
        </w:numPr>
        <w:shd w:val="clear" w:color="auto" w:fill="FFFFFF"/>
        <w:spacing w:before="120" w:after="312" w:line="360" w:lineRule="auto"/>
        <w:ind w:leftChars="3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Ж.Ю. Ковалева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Ознакомлена: ___________________________________________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Ind w:w="5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33-рк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  <w:t xml:space="preserve">Перечень функций                                                                               территориальной избирательной комиссии </w:t>
      </w:r>
      <w:r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eastAsia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  <w:t xml:space="preserve">района,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  <w:t>при реализации которых возможно возникновение коррупционных рисков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>Одобрен на заседании Комиссии по противодействию коррупции</w:t>
      </w: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Кировского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(п</w:t>
      </w: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 xml:space="preserve">ротокол № 4  от </w:t>
      </w: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10</w:t>
      </w: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 xml:space="preserve"> ноября 2021 года)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iCs/>
          <w:sz w:val="24"/>
          <w:szCs w:val="24"/>
          <w:lang w:val="ru-RU"/>
        </w:rPr>
      </w:pP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комплекса экономической и финансовой работы, связанной с обеспечением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избирательной комиссии Кировского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начисления заработной платы, пособий и иных выплат работникам.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удержания налога на доходы физических лиц с выплат в пользу работника, иные виды удержаний.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проверка документов, являющихся основанием для начисления и оплаты труда и иных выплат в период избирательной кампании.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предоставление бюджетной, налоговой, статистической и иной отчетности в установленные сроки в соответствующие органы. 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 и внутреннего финансового аудита.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инвентаризации.</w:t>
      </w:r>
    </w:p>
    <w:p>
      <w:pPr>
        <w:pStyle w:val="1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избирательной комиссии Кировского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58" w:firstLineChars="235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56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>
            <w:pPr>
              <w:pStyle w:val="16"/>
              <w:keepNext w:val="0"/>
              <w:keepLines w:val="0"/>
              <w:widowControl/>
              <w:suppressLineNumbers w:val="0"/>
              <w:tabs>
                <w:tab w:val="left" w:pos="567"/>
              </w:tabs>
              <w:spacing w:before="0" w:beforeAutospacing="0" w:afterAutospacing="0" w:line="36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33-рк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должностей                                                                            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района, замещение которых связано с коррупционными рисками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 xml:space="preserve">Одобрен на заседании Комиссии по противодействию коррупции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>в</w:t>
      </w: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Кировского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(п</w:t>
      </w: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 xml:space="preserve">ротокол № 4  от </w:t>
      </w:r>
      <w:r>
        <w:rPr>
          <w:rFonts w:hint="default" w:ascii="Times New Roman" w:hAnsi="Times New Roman" w:eastAsia="Times New Roman" w:cs="Times New Roman"/>
          <w:iCs/>
          <w:color w:val="auto"/>
          <w:sz w:val="24"/>
          <w:szCs w:val="24"/>
          <w:lang w:val="ru-RU"/>
        </w:rPr>
        <w:t xml:space="preserve">10 </w:t>
      </w:r>
      <w:r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  <w:t>ноября 2021 года)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i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0"/>
        <w:rPr>
          <w:rFonts w:ascii="Times New Roman" w:hAnsi="Times New Roman" w:eastAsia="Times New Roman" w:cs="Times New Roman"/>
          <w:iCs/>
          <w:sz w:val="24"/>
          <w:szCs w:val="24"/>
        </w:rPr>
      </w:pPr>
    </w:p>
    <w:p>
      <w:pPr>
        <w:pStyle w:val="1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58" w:firstLineChars="235"/>
        <w:jc w:val="both"/>
        <w:textAlignment w:val="auto"/>
        <w:outlineLvl w:val="0"/>
        <w:rPr>
          <w:rFonts w:ascii="Times New Roman" w:hAnsi="Times New Roman" w:eastAsia="Times New Roman" w:cs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kern w:val="36"/>
          <w:sz w:val="28"/>
          <w:szCs w:val="28"/>
        </w:rPr>
        <w:t xml:space="preserve">Ведущий специалист – эксперт </w:t>
      </w:r>
      <w:r>
        <w:rPr>
          <w:rFonts w:ascii="Times New Roman" w:hAnsi="Times New Roman" w:eastAsia="Times New Roman" w:cs="Times New Roman"/>
          <w:b w:val="0"/>
          <w:bCs w:val="0"/>
          <w:color w:val="auto"/>
          <w:kern w:val="36"/>
          <w:sz w:val="28"/>
          <w:szCs w:val="28"/>
          <w:lang w:val="ru-RU"/>
        </w:rPr>
        <w:t>аппарата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</w:p>
    <w:p>
      <w:pPr>
        <w:spacing w:before="300" w:after="360" w:line="360" w:lineRule="auto"/>
        <w:outlineLvl w:val="0"/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  <w:sectPr>
          <w:pgSz w:w="11906" w:h="16838"/>
          <w:pgMar w:top="567" w:right="851" w:bottom="567" w:left="1701" w:header="0" w:footer="0" w:gutter="0"/>
          <w:cols w:space="708" w:num="1"/>
          <w:docGrid w:linePitch="360" w:charSpace="0"/>
        </w:sectPr>
      </w:pPr>
    </w:p>
    <w:tbl>
      <w:tblPr>
        <w:tblStyle w:val="11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65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33-рк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color w:val="31404B"/>
          <w:kern w:val="3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 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Кировского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(Разработана в соответствии со ст.13.3 Федерального Закона от 25.12.2008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273-ФЗ « О противодействии коррупции» и с п.3 раздела 4 методических рекомендаций Министерства труда и социальной защиты РФ)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879" w:firstLineChars="31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2781"/>
        <w:gridCol w:w="2145"/>
        <w:gridCol w:w="1360"/>
        <w:gridCol w:w="3239"/>
        <w:gridCol w:w="938"/>
        <w:gridCol w:w="34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60" w:right="14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Подпроцесс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58" w:right="19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60" w:right="2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80" w:right="16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Степень риска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90" w:right="1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Меры по минимизации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90" w:right="1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(устранению)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4" w:lineRule="auto"/>
              <w:ind w:left="90" w:right="11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коррупционного риска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3" w:lineRule="atLeast"/>
              <w:ind w:left="63" w:right="169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Осуществление комплекса экономической и финансовой работы, связанной с обеспечением деятельности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территориальной избирательной комиссии Кировского района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3" w:right="1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овершении финансово-хозяйственных операций с очевидными (даже не для специалиста) нарушениями действующего законодательства.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Заключение контракта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(договора)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с организацией, не имеющей права на предоставление определенных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оваров(услуг)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Не предъявление претензий к организациям, нарушившим условия договора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 предложенное вознаграждение гражданскому служащему.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Нецелевое использование бюджетных средств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смете расходов, служащий выявляет, что определенные работы (услуги):                                           - уже были ранее оплачены;              - не предусмотрены сметой.                      При этом от заинтересованного лица служащему поступает предложение за вознаграждение провести оплату.</w:t>
            </w: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1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Обязанности соблюдения норм бюджетного законодательства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1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Осуществление регулярного контроля  наличия и достоверности первичных документов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  экономической обоснованности расходов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right="111" w:righ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leftChars="0" w:right="0" w:firstLine="0" w:firstLineChars="0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нализ целесообразности расходов финансовых средств с целью не допустить излишних трат денег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Комиссии.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91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  <w:t>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leftChars="0" w:right="111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Разъяснение служащим: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leftChars="0" w:right="111" w:right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220" w:leftChars="100" w:firstLine="0" w:firstLine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обязанности незамедлительно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220" w:leftChars="100" w:firstLine="0" w:firstLine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ообщить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представителю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анимателя о склонении его 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220" w:leftChars="100" w:firstLine="0" w:firstLine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совершению коррупционного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220" w:leftChars="100" w:firstLine="0" w:firstLineChars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правонарушения;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220" w:leftChars="100" w:right="111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- о мерах ответственности за совершение коррупционных правонарушений.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3" w:lineRule="atLeast"/>
              <w:ind w:left="63" w:right="16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Осуществлении начисления заработной платы, пособий и иных выплат работникам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3" w:right="1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tabs>
                <w:tab w:val="left" w:pos="2200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120" w:right="-47" w:righ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Необоснованн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е начисление премий, стимулирующих выплат.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right="203" w:righ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120" w:right="203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2. Доступ к информации содержащий персональные данные или относящиеся к коммерческой тайне.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120" w:right="20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44" w:right="136" w:righ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Оплата рабочего времени не в полном объеме.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right="136" w:righ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44" w:right="136" w:rightChar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2. Оплата рабочего времени в полном объеме в случае, когда </w:t>
            </w:r>
            <w:r>
              <w:rPr>
                <w:rFonts w:hint="default" w:ascii="Times New Roman" w:hAnsi="Times New Roman" w:eastAsia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гражданский служащий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фактически отсутствовал на рабочем месте.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44" w:right="14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90" w:rightChars="41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  <w:t xml:space="preserve">Использование средств на оплату труда в строгом соответствии с законодательством Российской Федерации и положения о порядке оплаты и материального стимулирования государственных гражданских служащих. 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Chars="0" w:right="90" w:rightChars="41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90" w:rightChars="41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Chars="0" w:right="90" w:rightChars="41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90" w:rightChars="41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lang w:val="ru-RU"/>
              </w:rPr>
              <w:t>Выдача сотрудникам расчетных листов.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ind w:leftChars="0" w:right="90" w:rightChars="41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90" w:rightChars="41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  <w:t>Разъяснение гражданским служащим о мерах ответственности за совершение коррупционных правонарушений.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3" w:lineRule="atLeast"/>
              <w:ind w:left="63" w:right="16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Осуществление удержания налога на доходы физических лиц с выплат в пользу работника, иные виды удержаний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3" w:right="16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Невыполнение обязанности по удержанию или перечислению соответствующих налогов, иных видов удержаний в установленный законом срок.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90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Незаконное удержание сумм из заработной платы.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90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Разглашение сведений, составляющих налоговую тайну.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Удержание налога не в полном объеме.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Невыполнение удержания из заработной платы за предложенное вознаграждение или по договоренности в следующих случаях: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 р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аботник получил аванс, но не отработал положенное время, уволился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 xml:space="preserve"> - р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аботник получил авансовые 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к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омандировочные, но все их не потратил и по возвращении из командировки не вернул</w:t>
            </w: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- работник «отгулял» полный отпуск, но отработал неполный год и уволился;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- работник нанес материальный ущерб работодателю;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- счетная (арифметическая) ошибка при начислении и выплате заработной платы.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69" w:rightChars="0" w:firstLine="0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Не выполнение удержания алиментов с работника по постановлению судебных приставов за денежное вознаграждение или иные блага.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69" w:rightChars="0" w:firstLine="0" w:firstLine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Предоставление льготы по НДФЛ без основания.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69" w:rightChars="0"/>
              <w:jc w:val="both"/>
              <w:rPr>
                <w:rStyle w:val="4"/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Производить удержания в полном соответствии с действующим законодательством.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11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Контроль за правильностью удержания НДФЛ, начисления страховых взносов в ПФР, ФСС, ФОМС.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11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Осуществление регулярного контроля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наличия авансовых отчетов, ведомостей начисления и выплаты заработной платы, документов, являющихся основанием для предоставления льгот по НДФЛ.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11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Строгий учет документов, являющихся основанием для удержания (исполнительный лист, авансовый отчет, табель учета рабочего времени).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11" w:right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leftChars="0" w:right="111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3" w:lineRule="atLeast"/>
              <w:ind w:left="63" w:right="16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Прием и проверка документов, являющихся основанием для начисления и оплаты труда и иных выплат в период избирательной кампании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1.Нецелевое использование бюджетных средств.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2. Фальсификация поступивших на оплату первичных документов.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76" w:lineRule="auto"/>
              <w:ind w:left="147" w:right="6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смете расходов, служащий выявляет, что определенные работы (услуги):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76" w:lineRule="auto"/>
              <w:ind w:left="147" w:right="62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- уже были ранее оплачены;              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76" w:lineRule="auto"/>
              <w:ind w:left="147" w:right="62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- не предусмотрены сметой.                      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76" w:lineRule="auto"/>
              <w:ind w:left="147" w:right="6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 этом от заинтересованного лица служащему поступает предложение за вознаграждение провести оплату.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Средняя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Осуществление регулярного контроля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табеля учета рабочего времени.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11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Система визирования документов, являющихся основанием для оплаты, председателем ТИК.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2.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обязанности соблюдения норм бюджетного законодательства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3" w:lineRule="atLeast"/>
              <w:ind w:left="60" w:right="146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и предоставление бюджетной, налоговой, статистической и иной отчетности в установленные сроки в соответствующие органы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Сдача бухгалтерской отчетности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7" w:right="19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8"/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textAlignment w:val="baseline"/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</w:rPr>
              <w:t>Обеспечение доступности и прозрачности отчетных, информационно-аналитических и статистических документов о деятельности комиссии.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. Система визирования документов ответственными лицами.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14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за движением материальных ценностей и расходных материалов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Несвоевременная постановка на регистрационный учет материальных ценностей.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Отсутствие регулярного контроля за наличием и сохранением имущества.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Организация и ведение бюджетного учета имущества, материальных ценностей путем сплошного, непрерывного, документального и взаимосвязанного их отражения в регистрах бюджетного учета по нефинансовым активам и материальным запасам в соответствии с действующим законодательством.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опоставимость и анализ данных бюджетного учета и сформированной на их основе отчетности.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. Сопоставимость показателей бухгалтерского (бюджетного) учета и отчетности за отчетный, текущий и очередной финансовый годы (очередной финансовый год и плановый период) при внесении в них изменений.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своевременности, полноты и достоверности отражения в первичных документах учета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имущества, материальных ценностей, нефинансовых активов и материальных запасов.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Проведение инвентаризации.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Реализация функций и полномочий по осуществлению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Умышленное нарушение установленного порядка проведения внутреннего финансового контроля и внутреннего финансового аудита.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2.Незаконное использование своего служебного положения при решении личных вопросов, связанных с получением материальной или нематериальной выгоды.</w:t>
            </w:r>
          </w:p>
        </w:tc>
        <w:tc>
          <w:tcPr>
            <w:tcW w:w="93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Непрерывное осуществление внутреннего финансового контроля и внутреннего финансового аудита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федеральными стандартами.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Соблюдение периодичности проведения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внутреннего финансового контроля и внутреннего финансового аудита, а также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обязанностей должностных лиц при проведении указанной функции.  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Анализ осуществления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внутреннего финансового контроля и внутреннего финансового аудита.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 Контроль за доходами гражданских служащих ТИК, в полномочия которых входит выполнение настоящей функции.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Учет и инвентаризация материальных средств.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Отсутствие регулярного контроля за наличием и сохранением имущества.</w:t>
            </w:r>
          </w:p>
        </w:tc>
        <w:tc>
          <w:tcPr>
            <w:tcW w:w="93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1" w:right="11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 Распорядительное регулирование сроков проведения инвентаризации.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Комиссионное проведение инвентаризации.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Коллегиальное составление актов по итогам инвентаризации.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4.Разъяснение государственным гражданским служащим: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3" w:firstLine="50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3" w:firstLine="50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91" w:right="113" w:firstLine="506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1" w:hRule="atLeast"/>
        </w:trPr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146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 по вопросам деятельности государственного органа, проектов организационно – распорядительных документов руководителя территориальной избирательной комиссии Кировского района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right="19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Прием документов от граждан 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замещение вакантных должностей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и включение в кадровый резерв.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90" w:right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государственных гражданских служащих.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Оформление личных дел.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Доступ к информации,     содержащей персональные данные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58" w:leftChars="0" w:right="19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Предоставление служебной информации третьим лицам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60" w:right="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– эксперт аппарата ТИК</w:t>
            </w:r>
          </w:p>
        </w:tc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службу.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right="16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Вступление в соглашение с кандидатами с целью получения вознаграждения.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Оказание давления на принятие решения при проведении аттестации.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Необъективная оценка деятельности государственных гражданских служащих.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leftChars="0" w:right="167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.Фальсификация документов при формировании личных дел. Необоснованная выдача каких-либо документов.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.Раскрытие информации, содержащей персональные данные.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. Использование в личных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Попытка несанкционированного доступа к информационным ресурсам.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80" w:right="16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 Замалчивание информации.</w:t>
            </w:r>
          </w:p>
        </w:tc>
        <w:tc>
          <w:tcPr>
            <w:tcW w:w="93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Низкая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clear" w:pos="31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Разъяснение положений о мерах ответственности за совершение коррупционных правонарушений.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righ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clear" w:pos="312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Исключение возможности единоличного принятия решений.  Создание аттестационной комиссии.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Привлечение к работе аттестационной комиссии независимых экспертов.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righ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спользование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информационных технологий при проведении аттестации.      Обеспечение публичности информации о проведении конкурсов. Размещение на официальном сайте Комиссии информации о проведении и результатах конкурса. 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leftChars="0" w:right="111" w:righ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подлинности документов соискателей.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270" w:leftChars="0" w:right="111" w:right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90" w:right="111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 Разъяснения по вопросам разглашения или предоставления служебной информации.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879" w:firstLineChars="31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134" w:right="850" w:bottom="567" w:left="1701" w:header="0" w:footer="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F7571"/>
    <w:multiLevelType w:val="singleLevel"/>
    <w:tmpl w:val="8B0F7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7F75AE"/>
    <w:multiLevelType w:val="singleLevel"/>
    <w:tmpl w:val="957F75A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CA55190"/>
    <w:multiLevelType w:val="singleLevel"/>
    <w:tmpl w:val="ACA5519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BB4D9EC3"/>
    <w:multiLevelType w:val="singleLevel"/>
    <w:tmpl w:val="BB4D9EC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596B079"/>
    <w:multiLevelType w:val="singleLevel"/>
    <w:tmpl w:val="E596B07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74261D3"/>
    <w:multiLevelType w:val="singleLevel"/>
    <w:tmpl w:val="E74261D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35A08DD"/>
    <w:multiLevelType w:val="singleLevel"/>
    <w:tmpl w:val="F35A08DD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DC6478A"/>
    <w:multiLevelType w:val="singleLevel"/>
    <w:tmpl w:val="0DC6478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16944238"/>
    <w:multiLevelType w:val="singleLevel"/>
    <w:tmpl w:val="1694423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1A8636E7"/>
    <w:multiLevelType w:val="multilevel"/>
    <w:tmpl w:val="1A8636E7"/>
    <w:lvl w:ilvl="0" w:tentative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eastAsiaTheme="minorEastAsia"/>
        <w:color w:val="auto"/>
      </w:rPr>
    </w:lvl>
    <w:lvl w:ilvl="1" w:tentative="0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 w:tentative="0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color w:val="auto"/>
        <w:sz w:val="24"/>
      </w:rPr>
    </w:lvl>
    <w:lvl w:ilvl="3" w:tentative="0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  <w:color w:val="auto"/>
        <w:sz w:val="24"/>
      </w:rPr>
    </w:lvl>
    <w:lvl w:ilvl="4" w:tentative="0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  <w:color w:val="auto"/>
        <w:sz w:val="24"/>
      </w:rPr>
    </w:lvl>
    <w:lvl w:ilvl="5" w:tentative="0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color w:val="auto"/>
        <w:sz w:val="24"/>
      </w:rPr>
    </w:lvl>
    <w:lvl w:ilvl="6" w:tentative="0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  <w:color w:val="auto"/>
        <w:sz w:val="24"/>
      </w:rPr>
    </w:lvl>
    <w:lvl w:ilvl="7" w:tentative="0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  <w:color w:val="auto"/>
        <w:sz w:val="24"/>
      </w:rPr>
    </w:lvl>
    <w:lvl w:ilvl="8" w:tentative="0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  <w:color w:val="auto"/>
        <w:sz w:val="24"/>
      </w:rPr>
    </w:lvl>
  </w:abstractNum>
  <w:abstractNum w:abstractNumId="10">
    <w:nsid w:val="29BD8024"/>
    <w:multiLevelType w:val="singleLevel"/>
    <w:tmpl w:val="29BD8024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4A1C484F"/>
    <w:multiLevelType w:val="multilevel"/>
    <w:tmpl w:val="4A1C484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ADCF0"/>
    <w:multiLevelType w:val="singleLevel"/>
    <w:tmpl w:val="607ADCF0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624780F0"/>
    <w:multiLevelType w:val="singleLevel"/>
    <w:tmpl w:val="624780F0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  <w:b w:val="0"/>
        <w:bCs w:val="0"/>
        <w:sz w:val="28"/>
        <w:szCs w:val="28"/>
      </w:rPr>
    </w:lvl>
  </w:abstractNum>
  <w:abstractNum w:abstractNumId="14">
    <w:nsid w:val="62CEA4B6"/>
    <w:multiLevelType w:val="singleLevel"/>
    <w:tmpl w:val="62CEA4B6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6E3EA8F5"/>
    <w:multiLevelType w:val="singleLevel"/>
    <w:tmpl w:val="6E3EA8F5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729C8D76"/>
    <w:multiLevelType w:val="singleLevel"/>
    <w:tmpl w:val="729C8D76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7D6634AB"/>
    <w:multiLevelType w:val="singleLevel"/>
    <w:tmpl w:val="7D6634A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70" w:leftChars="0" w:firstLine="0" w:firstLineChars="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1"/>
    <w:rsid w:val="000147AE"/>
    <w:rsid w:val="0002565D"/>
    <w:rsid w:val="000314F6"/>
    <w:rsid w:val="00036866"/>
    <w:rsid w:val="00041B5D"/>
    <w:rsid w:val="00052FDA"/>
    <w:rsid w:val="00056A16"/>
    <w:rsid w:val="00093615"/>
    <w:rsid w:val="000952BD"/>
    <w:rsid w:val="00096D0E"/>
    <w:rsid w:val="000A2F79"/>
    <w:rsid w:val="000C7E7F"/>
    <w:rsid w:val="001005E6"/>
    <w:rsid w:val="00112F44"/>
    <w:rsid w:val="0012512A"/>
    <w:rsid w:val="001372E2"/>
    <w:rsid w:val="0015063C"/>
    <w:rsid w:val="00150DC4"/>
    <w:rsid w:val="00172C1A"/>
    <w:rsid w:val="001A5412"/>
    <w:rsid w:val="001C2526"/>
    <w:rsid w:val="001C700D"/>
    <w:rsid w:val="001E1680"/>
    <w:rsid w:val="00210154"/>
    <w:rsid w:val="00221D79"/>
    <w:rsid w:val="00223990"/>
    <w:rsid w:val="00246661"/>
    <w:rsid w:val="0026642A"/>
    <w:rsid w:val="0027106D"/>
    <w:rsid w:val="002954C8"/>
    <w:rsid w:val="002E62DB"/>
    <w:rsid w:val="00333724"/>
    <w:rsid w:val="003428A3"/>
    <w:rsid w:val="00343054"/>
    <w:rsid w:val="00371B51"/>
    <w:rsid w:val="003744E1"/>
    <w:rsid w:val="00376B31"/>
    <w:rsid w:val="003C4730"/>
    <w:rsid w:val="0041732A"/>
    <w:rsid w:val="00434B05"/>
    <w:rsid w:val="00453B5F"/>
    <w:rsid w:val="004839C3"/>
    <w:rsid w:val="00491C16"/>
    <w:rsid w:val="00491EE7"/>
    <w:rsid w:val="00495275"/>
    <w:rsid w:val="004A1052"/>
    <w:rsid w:val="004B429B"/>
    <w:rsid w:val="004C24BD"/>
    <w:rsid w:val="004C3585"/>
    <w:rsid w:val="004F2EF6"/>
    <w:rsid w:val="00555056"/>
    <w:rsid w:val="005803C1"/>
    <w:rsid w:val="00585293"/>
    <w:rsid w:val="005A46E9"/>
    <w:rsid w:val="006062EA"/>
    <w:rsid w:val="00641926"/>
    <w:rsid w:val="00642A1A"/>
    <w:rsid w:val="006510E8"/>
    <w:rsid w:val="00667947"/>
    <w:rsid w:val="00676A21"/>
    <w:rsid w:val="006A1DD0"/>
    <w:rsid w:val="006B327D"/>
    <w:rsid w:val="006C2701"/>
    <w:rsid w:val="006C581F"/>
    <w:rsid w:val="006D0629"/>
    <w:rsid w:val="006F59A7"/>
    <w:rsid w:val="00714D4B"/>
    <w:rsid w:val="00734B21"/>
    <w:rsid w:val="0074146F"/>
    <w:rsid w:val="007475D9"/>
    <w:rsid w:val="00754C5A"/>
    <w:rsid w:val="00770BB0"/>
    <w:rsid w:val="007A7406"/>
    <w:rsid w:val="007C67CE"/>
    <w:rsid w:val="007F1E63"/>
    <w:rsid w:val="007F58B7"/>
    <w:rsid w:val="00800674"/>
    <w:rsid w:val="00804C90"/>
    <w:rsid w:val="00804EBB"/>
    <w:rsid w:val="00807140"/>
    <w:rsid w:val="00817987"/>
    <w:rsid w:val="00866561"/>
    <w:rsid w:val="008A335E"/>
    <w:rsid w:val="008C1304"/>
    <w:rsid w:val="008E7CBE"/>
    <w:rsid w:val="008F428A"/>
    <w:rsid w:val="008F704D"/>
    <w:rsid w:val="00906A76"/>
    <w:rsid w:val="009250D9"/>
    <w:rsid w:val="00945394"/>
    <w:rsid w:val="00946C14"/>
    <w:rsid w:val="00954318"/>
    <w:rsid w:val="00960570"/>
    <w:rsid w:val="009678C2"/>
    <w:rsid w:val="00967EF8"/>
    <w:rsid w:val="00970BE0"/>
    <w:rsid w:val="009D2B87"/>
    <w:rsid w:val="009D43BE"/>
    <w:rsid w:val="009E0D36"/>
    <w:rsid w:val="00A1342B"/>
    <w:rsid w:val="00A32EC7"/>
    <w:rsid w:val="00A828B2"/>
    <w:rsid w:val="00A974DF"/>
    <w:rsid w:val="00AA09C3"/>
    <w:rsid w:val="00AC1F95"/>
    <w:rsid w:val="00AE70BB"/>
    <w:rsid w:val="00AF3B42"/>
    <w:rsid w:val="00B0384A"/>
    <w:rsid w:val="00B114BC"/>
    <w:rsid w:val="00B445C6"/>
    <w:rsid w:val="00B4571B"/>
    <w:rsid w:val="00B7559A"/>
    <w:rsid w:val="00B770A7"/>
    <w:rsid w:val="00B8238A"/>
    <w:rsid w:val="00BC4B0F"/>
    <w:rsid w:val="00BE229D"/>
    <w:rsid w:val="00C5632A"/>
    <w:rsid w:val="00C64A31"/>
    <w:rsid w:val="00C9070E"/>
    <w:rsid w:val="00CD0D6B"/>
    <w:rsid w:val="00CE0A49"/>
    <w:rsid w:val="00CE61DA"/>
    <w:rsid w:val="00CF0689"/>
    <w:rsid w:val="00D40EC5"/>
    <w:rsid w:val="00D858A5"/>
    <w:rsid w:val="00DD0712"/>
    <w:rsid w:val="00E12A5A"/>
    <w:rsid w:val="00E26A72"/>
    <w:rsid w:val="00E57796"/>
    <w:rsid w:val="00E8162E"/>
    <w:rsid w:val="00EA1F62"/>
    <w:rsid w:val="00EA2581"/>
    <w:rsid w:val="00F10FE6"/>
    <w:rsid w:val="00F13A42"/>
    <w:rsid w:val="00F51734"/>
    <w:rsid w:val="00F5653E"/>
    <w:rsid w:val="00FA67C6"/>
    <w:rsid w:val="00FB1103"/>
    <w:rsid w:val="00FC2071"/>
    <w:rsid w:val="00FD1B7C"/>
    <w:rsid w:val="00FE6BDA"/>
    <w:rsid w:val="00FF4539"/>
    <w:rsid w:val="00FF5602"/>
    <w:rsid w:val="01F14D55"/>
    <w:rsid w:val="080D5282"/>
    <w:rsid w:val="0A6A5983"/>
    <w:rsid w:val="12733C7A"/>
    <w:rsid w:val="12D64185"/>
    <w:rsid w:val="15F47393"/>
    <w:rsid w:val="2D3856CF"/>
    <w:rsid w:val="31707775"/>
    <w:rsid w:val="346D426C"/>
    <w:rsid w:val="46025D77"/>
    <w:rsid w:val="49D97C4F"/>
    <w:rsid w:val="574605C2"/>
    <w:rsid w:val="62DB155F"/>
    <w:rsid w:val="666C06BE"/>
    <w:rsid w:val="6A946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Body Text Indent"/>
    <w:basedOn w:val="1"/>
    <w:link w:val="14"/>
    <w:qFormat/>
    <w:uiPriority w:val="0"/>
    <w:pPr>
      <w:spacing w:after="120" w:line="240" w:lineRule="auto"/>
      <w:ind w:left="283"/>
    </w:pPr>
    <w:rPr>
      <w:rFonts w:ascii="Times New Roman" w:hAnsi="Times New Roman" w:eastAsia="SimSun" w:cs="Times New Roman"/>
      <w:sz w:val="24"/>
      <w:szCs w:val="24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14-15"/>
    <w:basedOn w:val="1"/>
    <w:qFormat/>
    <w:uiPriority w:val="0"/>
    <w:pPr>
      <w:spacing w:after="0" w:line="36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Основной текст с отступом Знак"/>
    <w:basedOn w:val="2"/>
    <w:link w:val="8"/>
    <w:qFormat/>
    <w:uiPriority w:val="0"/>
    <w:rPr>
      <w:rFonts w:ascii="Times New Roman" w:hAnsi="Times New Roman" w:eastAsia="SimSun" w:cs="Times New Roman"/>
      <w:sz w:val="24"/>
      <w:szCs w:val="24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Calibri"/>
      <w:sz w:val="24"/>
      <w:szCs w:val="24"/>
      <w:lang w:val="ru-RU" w:eastAsia="ru-RU" w:bidi="ar-SA"/>
    </w:rPr>
  </w:style>
  <w:style w:type="paragraph" w:customStyle="1" w:styleId="18">
    <w:name w:val="pj"/>
    <w:basedOn w:val="1"/>
    <w:qFormat/>
    <w:uiPriority w:val="0"/>
    <w:pPr>
      <w:spacing w:line="240" w:lineRule="auto"/>
    </w:pPr>
    <w:rPr>
      <w:rFonts w:ascii="Times New Roman" w:hAnsi="Times New Roman" w:eastAsia="Times New Roman"/>
    </w:rPr>
  </w:style>
  <w:style w:type="paragraph" w:customStyle="1" w:styleId="19">
    <w:name w:val="Абзац списка1"/>
    <w:basedOn w:val="1"/>
    <w:qFormat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E14F-062A-4F63-9AA7-1404D0FA8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729</Words>
  <Characters>4160</Characters>
  <Lines>34</Lines>
  <Paragraphs>9</Paragraphs>
  <TotalTime>5</TotalTime>
  <ScaleCrop>false</ScaleCrop>
  <LinksUpToDate>false</LinksUpToDate>
  <CharactersWithSpaces>4880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2021-11-17T07:34:00Z</dcterms:created>
  <dc:creator>User</dc:creator>
  <cp:lastModifiedBy>Asus</cp:lastModifiedBy>
  <cp:lastPrinted>2022-12-19T05:53:00Z</cp:lastPrinted>
  <dcterms:modified xsi:type="dcterms:W3CDTF">2023-01-23T06:02:54Z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3E843E7FC9A04EF9AC8F3C16A82F4DFA</vt:lpwstr>
  </property>
</Properties>
</file>