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A031C7" w:rsidRPr="00A031C7" w:rsidRDefault="008B6E07" w:rsidP="00A031C7">
      <w:pPr>
        <w:pStyle w:val="1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8"/>
          <w:sz w:val="26"/>
          <w:szCs w:val="26"/>
        </w:rPr>
      </w:pPr>
      <w:r w:rsidRPr="008B6E07">
        <w:rPr>
          <w:rFonts w:asciiTheme="minorHAnsi" w:hAnsiTheme="minorHAnsi" w:cs="Arial"/>
          <w:color w:val="212121"/>
          <w:spacing w:val="-8"/>
          <w:sz w:val="26"/>
          <w:szCs w:val="26"/>
        </w:rPr>
        <w:t>Более 4</w:t>
      </w:r>
      <w:r w:rsidR="00A031C7" w:rsidRPr="008B6E07">
        <w:rPr>
          <w:rFonts w:asciiTheme="minorHAnsi" w:hAnsiTheme="minorHAnsi" w:cs="Arial"/>
          <w:color w:val="212121"/>
          <w:spacing w:val="-8"/>
          <w:sz w:val="26"/>
          <w:szCs w:val="26"/>
        </w:rPr>
        <w:t xml:space="preserve"> тыс. приморских семей</w:t>
      </w:r>
      <w:r w:rsidR="00A031C7" w:rsidRPr="00A031C7">
        <w:rPr>
          <w:rFonts w:asciiTheme="minorHAnsi" w:hAnsiTheme="minorHAnsi" w:cs="Arial"/>
          <w:color w:val="212121"/>
          <w:spacing w:val="-8"/>
          <w:sz w:val="26"/>
          <w:szCs w:val="26"/>
        </w:rPr>
        <w:t xml:space="preserve"> оформили повышенный материнский капитал</w:t>
      </w:r>
    </w:p>
    <w:p w:rsidR="00E51F63" w:rsidRPr="00A031C7" w:rsidRDefault="00A031C7" w:rsidP="00A031C7">
      <w:pPr>
        <w:pStyle w:val="a7"/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A031C7">
        <w:rPr>
          <w:rFonts w:asciiTheme="minorHAnsi" w:hAnsiTheme="minorHAnsi"/>
          <w:b/>
          <w:bCs/>
          <w:sz w:val="24"/>
          <w:szCs w:val="24"/>
        </w:rPr>
        <w:t>27</w:t>
      </w:r>
      <w:r w:rsidR="00111FDB" w:rsidRPr="00A031C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031C7">
        <w:rPr>
          <w:rFonts w:asciiTheme="minorHAnsi" w:hAnsiTheme="minorHAnsi"/>
          <w:b/>
          <w:bCs/>
          <w:sz w:val="24"/>
          <w:szCs w:val="24"/>
        </w:rPr>
        <w:t>октября</w:t>
      </w:r>
      <w:r w:rsidR="00111FDB" w:rsidRPr="00A031C7">
        <w:rPr>
          <w:rFonts w:asciiTheme="minorHAnsi" w:hAnsiTheme="minorHAnsi"/>
          <w:b/>
          <w:bCs/>
          <w:sz w:val="24"/>
          <w:szCs w:val="24"/>
        </w:rPr>
        <w:t xml:space="preserve"> 2022 г.</w:t>
      </w:r>
      <w:r w:rsidR="00E51F63" w:rsidRPr="00A031C7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E51F63" w:rsidRPr="00A031C7" w:rsidRDefault="00E51F63" w:rsidP="00A031C7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031C7" w:rsidRPr="00A031C7" w:rsidRDefault="008B6E07" w:rsidP="00A031C7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8B6E07">
        <w:rPr>
          <w:rFonts w:asciiTheme="minorHAnsi" w:hAnsiTheme="minorHAnsi" w:cs="Arial"/>
          <w:color w:val="212121"/>
          <w:spacing w:val="-5"/>
        </w:rPr>
        <w:t xml:space="preserve">Более 4 </w:t>
      </w:r>
      <w:r w:rsidR="00A031C7" w:rsidRPr="008B6E07">
        <w:rPr>
          <w:rFonts w:asciiTheme="minorHAnsi" w:hAnsiTheme="minorHAnsi" w:cs="Arial"/>
          <w:color w:val="212121"/>
          <w:spacing w:val="-5"/>
        </w:rPr>
        <w:t>тыс. приморских семей</w:t>
      </w:r>
      <w:r w:rsidR="00A031C7" w:rsidRPr="00A031C7">
        <w:rPr>
          <w:rFonts w:asciiTheme="minorHAnsi" w:hAnsiTheme="minorHAnsi" w:cs="Arial"/>
          <w:color w:val="212121"/>
          <w:spacing w:val="-5"/>
        </w:rPr>
        <w:t xml:space="preserve">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A031C7" w:rsidRPr="00A031C7" w:rsidRDefault="00A031C7" w:rsidP="00A031C7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A031C7">
        <w:rPr>
          <w:rFonts w:asciiTheme="minorHAnsi" w:hAnsiTheme="minorHAnsi" w:cs="Arial"/>
          <w:color w:val="212121"/>
          <w:spacing w:val="-5"/>
        </w:rPr>
        <w:t xml:space="preserve">После рождения ребенка 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A031C7">
        <w:rPr>
          <w:rFonts w:asciiTheme="minorHAnsi" w:hAnsiTheme="minorHAnsi" w:cs="Arial"/>
          <w:color w:val="212121"/>
          <w:spacing w:val="-5"/>
        </w:rPr>
        <w:t>госуслуг</w:t>
      </w:r>
      <w:proofErr w:type="spellEnd"/>
      <w:r w:rsidRPr="00A031C7">
        <w:rPr>
          <w:rFonts w:asciiTheme="minorHAnsi" w:hAnsiTheme="minorHAnsi" w:cs="Arial"/>
          <w:color w:val="212121"/>
          <w:spacing w:val="-5"/>
        </w:rPr>
        <w:t>. После этого можно подать заявление о распоряжении средствами и контролировать их остаток.</w:t>
      </w:r>
    </w:p>
    <w:p w:rsidR="00A031C7" w:rsidRPr="00A031C7" w:rsidRDefault="00A031C7" w:rsidP="00A031C7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A031C7">
        <w:rPr>
          <w:rFonts w:asciiTheme="minorHAnsi" w:hAnsiTheme="minorHAnsi" w:cs="Arial"/>
          <w:color w:val="212121"/>
          <w:spacing w:val="-5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A031C7" w:rsidRPr="00A031C7" w:rsidRDefault="00A031C7" w:rsidP="00A031C7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A031C7">
        <w:rPr>
          <w:rFonts w:asciiTheme="minorHAnsi" w:hAnsiTheme="minorHAnsi" w:cs="Arial"/>
          <w:color w:val="212121"/>
          <w:spacing w:val="-5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A031C7" w:rsidRPr="00A031C7" w:rsidRDefault="00A031C7" w:rsidP="00A031C7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A031C7">
        <w:rPr>
          <w:rFonts w:asciiTheme="minorHAnsi" w:hAnsiTheme="minorHAnsi" w:cs="Arial"/>
          <w:color w:val="212121"/>
          <w:spacing w:val="-5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:rsidR="00E51F63" w:rsidRPr="00A031C7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  <w:bookmarkStart w:id="0" w:name="_GoBack"/>
      <w:bookmarkEnd w:id="0"/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C51B8"/>
    <w:rsid w:val="001D4614"/>
    <w:rsid w:val="002668BE"/>
    <w:rsid w:val="003767E7"/>
    <w:rsid w:val="003B37C9"/>
    <w:rsid w:val="003B53DA"/>
    <w:rsid w:val="00465792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B6E07"/>
    <w:rsid w:val="008D26CA"/>
    <w:rsid w:val="008E71FC"/>
    <w:rsid w:val="009450C0"/>
    <w:rsid w:val="00A031C7"/>
    <w:rsid w:val="00A5679D"/>
    <w:rsid w:val="00A962FB"/>
    <w:rsid w:val="00AB6A9F"/>
    <w:rsid w:val="00AF0DB0"/>
    <w:rsid w:val="00B133D8"/>
    <w:rsid w:val="00C229E5"/>
    <w:rsid w:val="00C23157"/>
    <w:rsid w:val="00CB4673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1932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2020-10-14T23:34:00Z</cp:lastPrinted>
  <dcterms:created xsi:type="dcterms:W3CDTF">2022-10-27T02:03:00Z</dcterms:created>
  <dcterms:modified xsi:type="dcterms:W3CDTF">2022-10-27T02:36:00Z</dcterms:modified>
</cp:coreProperties>
</file>