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D8" w:rsidRPr="00454B76" w:rsidRDefault="006032D8" w:rsidP="006032D8">
      <w:pPr>
        <w:jc w:val="center"/>
        <w:rPr>
          <w:rFonts w:ascii="Times New Roman" w:hAnsi="Times New Roman" w:cs="Times New Roman"/>
        </w:rPr>
      </w:pPr>
      <w:r w:rsidRPr="00454B76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710" cy="723265"/>
            <wp:effectExtent l="1905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D8" w:rsidRPr="00454B76" w:rsidRDefault="006032D8" w:rsidP="00603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76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6032D8" w:rsidRDefault="006032D8" w:rsidP="006032D8">
      <w:pPr>
        <w:pStyle w:val="1"/>
        <w:rPr>
          <w:sz w:val="28"/>
        </w:rPr>
      </w:pPr>
      <w:r w:rsidRPr="00454B76">
        <w:rPr>
          <w:sz w:val="28"/>
        </w:rPr>
        <w:t>ПОСТАНОВЛЕНИЕ</w:t>
      </w:r>
    </w:p>
    <w:p w:rsidR="006032D8" w:rsidRPr="00454B76" w:rsidRDefault="006032D8" w:rsidP="006032D8">
      <w:pPr>
        <w:jc w:val="center"/>
        <w:rPr>
          <w:rFonts w:ascii="Times New Roman" w:hAnsi="Times New Roman" w:cs="Times New Roman"/>
          <w:b/>
          <w:sz w:val="16"/>
        </w:rPr>
      </w:pPr>
    </w:p>
    <w:p w:rsidR="006032D8" w:rsidRPr="00454B76" w:rsidRDefault="00433DBA" w:rsidP="006032D8">
      <w:pPr>
        <w:jc w:val="center"/>
        <w:rPr>
          <w:rFonts w:ascii="Times New Roman" w:hAnsi="Times New Roman" w:cs="Times New Roman"/>
          <w:b/>
          <w:sz w:val="24"/>
        </w:rPr>
      </w:pPr>
      <w:r w:rsidRPr="00433DBA">
        <w:rPr>
          <w:rFonts w:ascii="Times New Roman" w:hAnsi="Times New Roman" w:cs="Times New Roman"/>
          <w:b/>
          <w:sz w:val="28"/>
          <w:szCs w:val="28"/>
        </w:rPr>
        <w:t>10.12.2018</w:t>
      </w:r>
      <w:r w:rsidR="006032D8" w:rsidRPr="00454B76">
        <w:rPr>
          <w:rFonts w:ascii="Times New Roman" w:hAnsi="Times New Roman" w:cs="Times New Roman"/>
          <w:b/>
        </w:rPr>
        <w:t xml:space="preserve">                                    п. Кировский                       </w:t>
      </w:r>
      <w:r>
        <w:rPr>
          <w:rFonts w:ascii="Times New Roman" w:hAnsi="Times New Roman" w:cs="Times New Roman"/>
          <w:b/>
        </w:rPr>
        <w:t xml:space="preserve">                     №</w:t>
      </w:r>
      <w:r w:rsidRPr="00433DBA">
        <w:rPr>
          <w:rFonts w:ascii="Times New Roman" w:hAnsi="Times New Roman" w:cs="Times New Roman"/>
          <w:b/>
          <w:sz w:val="28"/>
          <w:szCs w:val="28"/>
        </w:rPr>
        <w:t>250</w:t>
      </w:r>
    </w:p>
    <w:p w:rsidR="006032D8" w:rsidRDefault="006032D8" w:rsidP="006032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D8" w:rsidRPr="00454B76" w:rsidRDefault="006032D8" w:rsidP="006032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76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B7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032D8" w:rsidRPr="00454B76" w:rsidRDefault="00D173A4" w:rsidP="006032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«Противодействия</w:t>
      </w:r>
      <w:r w:rsidR="006032D8" w:rsidRPr="00454B76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в администрации</w:t>
      </w:r>
    </w:p>
    <w:p w:rsidR="006032D8" w:rsidRPr="00454B76" w:rsidRDefault="006032D8" w:rsidP="006032D8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B76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4B76">
        <w:rPr>
          <w:rFonts w:ascii="Times New Roman" w:hAnsi="Times New Roman" w:cs="Times New Roman"/>
          <w:b/>
          <w:bCs/>
          <w:sz w:val="28"/>
          <w:szCs w:val="28"/>
        </w:rPr>
        <w:t>-2020 годы»</w:t>
      </w:r>
    </w:p>
    <w:p w:rsidR="006032D8" w:rsidRPr="00454B76" w:rsidRDefault="006032D8" w:rsidP="006032D8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2D8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B7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54B76">
        <w:rPr>
          <w:rFonts w:ascii="Times New Roman" w:hAnsi="Times New Roman" w:cs="Times New Roman"/>
          <w:bCs/>
          <w:sz w:val="28"/>
          <w:szCs w:val="28"/>
        </w:rPr>
        <w:t>аконом Приморского края от 10 марта 2009 года № 387-КЗ «О противодействии коррупции в Приморском крае», руководствуясь ст. 24 Устава К</w:t>
      </w:r>
      <w:r>
        <w:rPr>
          <w:rFonts w:ascii="Times New Roman" w:hAnsi="Times New Roman" w:cs="Times New Roman"/>
          <w:bCs/>
          <w:sz w:val="28"/>
          <w:szCs w:val="28"/>
        </w:rPr>
        <w:t>ировского муниципального района</w:t>
      </w:r>
      <w:r w:rsidRPr="00454B76">
        <w:rPr>
          <w:rFonts w:ascii="Times New Roman" w:hAnsi="Times New Roman" w:cs="Times New Roman"/>
          <w:bCs/>
          <w:sz w:val="28"/>
          <w:szCs w:val="28"/>
        </w:rPr>
        <w:t xml:space="preserve">, принятого решением Думы Кировского муниципального района от 08 июля 2005 года №126 (в действующей редакции решения Думы Кировского муниципального района от 15 мая 2018 года № 137 – НПА) </w:t>
      </w:r>
    </w:p>
    <w:p w:rsidR="006032D8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D8" w:rsidRPr="00264D7E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D7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6032D8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B76">
        <w:rPr>
          <w:rFonts w:ascii="Times New Roman" w:hAnsi="Times New Roman" w:cs="Times New Roman"/>
          <w:bCs/>
          <w:sz w:val="28"/>
          <w:szCs w:val="28"/>
        </w:rPr>
        <w:t>1. Утвердить прилагаемую муниципа</w:t>
      </w:r>
      <w:r w:rsidR="00D173A4">
        <w:rPr>
          <w:rFonts w:ascii="Times New Roman" w:hAnsi="Times New Roman" w:cs="Times New Roman"/>
          <w:bCs/>
          <w:sz w:val="28"/>
          <w:szCs w:val="28"/>
        </w:rPr>
        <w:t>льную Программу «Противодействия</w:t>
      </w:r>
      <w:r w:rsidRPr="00454B76">
        <w:rPr>
          <w:rFonts w:ascii="Times New Roman" w:hAnsi="Times New Roman" w:cs="Times New Roman"/>
          <w:bCs/>
          <w:sz w:val="28"/>
          <w:szCs w:val="28"/>
        </w:rPr>
        <w:t xml:space="preserve"> коррупции в администрации Кировского муниципального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54B76">
        <w:rPr>
          <w:rFonts w:ascii="Times New Roman" w:hAnsi="Times New Roman" w:cs="Times New Roman"/>
          <w:bCs/>
          <w:sz w:val="28"/>
          <w:szCs w:val="28"/>
        </w:rPr>
        <w:t xml:space="preserve"> - 2020 годы».</w:t>
      </w:r>
    </w:p>
    <w:p w:rsidR="006032D8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B76">
        <w:rPr>
          <w:rFonts w:ascii="Times New Roman" w:hAnsi="Times New Roman" w:cs="Times New Roman"/>
          <w:bCs/>
          <w:sz w:val="28"/>
          <w:szCs w:val="28"/>
        </w:rPr>
        <w:t>2. Руководителю аппарата администрации Кировского муниципального района опубликовать настоящее постановление и разместить на официальном сайте администрации Кировского муниципального района.</w:t>
      </w:r>
    </w:p>
    <w:p w:rsidR="006032D8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B7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54B76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454B76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«Об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 муниципальной  Программы  </w:t>
      </w:r>
      <w:r w:rsidR="00D173A4">
        <w:rPr>
          <w:rFonts w:ascii="Times New Roman" w:hAnsi="Times New Roman" w:cs="Times New Roman"/>
          <w:bCs/>
          <w:sz w:val="28"/>
          <w:szCs w:val="28"/>
        </w:rPr>
        <w:t>«Противодействия</w:t>
      </w:r>
      <w:r w:rsidRPr="00454B76">
        <w:rPr>
          <w:rFonts w:ascii="Times New Roman" w:hAnsi="Times New Roman" w:cs="Times New Roman"/>
          <w:bCs/>
          <w:sz w:val="28"/>
          <w:szCs w:val="28"/>
        </w:rPr>
        <w:t xml:space="preserve"> коррупции в администрации  Кировского муниципального района  на 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54B76">
        <w:rPr>
          <w:rFonts w:ascii="Times New Roman" w:hAnsi="Times New Roman" w:cs="Times New Roman"/>
          <w:bCs/>
          <w:sz w:val="28"/>
          <w:szCs w:val="28"/>
        </w:rPr>
        <w:t xml:space="preserve"> - 2020  годы» возложить на руководителя аппарата администрации К</w:t>
      </w:r>
      <w:r>
        <w:rPr>
          <w:rFonts w:ascii="Times New Roman" w:hAnsi="Times New Roman" w:cs="Times New Roman"/>
          <w:bCs/>
          <w:sz w:val="28"/>
          <w:szCs w:val="28"/>
        </w:rPr>
        <w:t>ировского муниципального района</w:t>
      </w:r>
      <w:r w:rsidRPr="00454B7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32D8" w:rsidRPr="00454B76" w:rsidRDefault="006032D8" w:rsidP="006032D8">
      <w:pPr>
        <w:suppressAutoHyphens/>
        <w:spacing w:after="0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54B76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официального опубликования.</w:t>
      </w:r>
    </w:p>
    <w:p w:rsidR="006032D8" w:rsidRDefault="006032D8" w:rsidP="00433DBA">
      <w:pPr>
        <w:suppressAutoHyphens/>
        <w:spacing w:after="0" w:line="240" w:lineRule="auto"/>
        <w:ind w:right="-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2D8" w:rsidRPr="00454B76" w:rsidRDefault="006032D8" w:rsidP="006032D8">
      <w:pPr>
        <w:tabs>
          <w:tab w:val="left" w:pos="7226"/>
        </w:tabs>
        <w:suppressAutoHyphens/>
        <w:spacing w:after="0" w:line="240" w:lineRule="auto"/>
        <w:ind w:right="-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B76">
        <w:rPr>
          <w:rFonts w:ascii="Times New Roman" w:hAnsi="Times New Roman" w:cs="Times New Roman"/>
          <w:sz w:val="28"/>
          <w:szCs w:val="28"/>
        </w:rPr>
        <w:t>Глава  Кировского муниципального района-</w:t>
      </w:r>
    </w:p>
    <w:p w:rsidR="006032D8" w:rsidRDefault="006032D8" w:rsidP="006032D8">
      <w:pPr>
        <w:tabs>
          <w:tab w:val="left" w:pos="6780"/>
        </w:tabs>
        <w:suppressAutoHyphens/>
        <w:spacing w:after="0" w:line="240" w:lineRule="auto"/>
        <w:ind w:right="-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B76">
        <w:rPr>
          <w:rFonts w:ascii="Times New Roman" w:hAnsi="Times New Roman" w:cs="Times New Roman"/>
          <w:sz w:val="28"/>
          <w:szCs w:val="28"/>
        </w:rPr>
        <w:t>глава администрации  Кировского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D8" w:rsidRPr="00454B76" w:rsidRDefault="006032D8" w:rsidP="006032D8">
      <w:pPr>
        <w:tabs>
          <w:tab w:val="left" w:pos="6780"/>
        </w:tabs>
        <w:suppressAutoHyphens/>
        <w:spacing w:after="0" w:line="240" w:lineRule="auto"/>
        <w:ind w:right="-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54B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4B76">
        <w:rPr>
          <w:rFonts w:ascii="Times New Roman" w:hAnsi="Times New Roman" w:cs="Times New Roman"/>
          <w:sz w:val="28"/>
          <w:szCs w:val="28"/>
        </w:rPr>
        <w:t xml:space="preserve">И.И. Вотяков          </w:t>
      </w:r>
    </w:p>
    <w:p w:rsidR="00433DBA" w:rsidRPr="00A729CA" w:rsidRDefault="00433DBA" w:rsidP="006032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DBA" w:rsidRPr="00A729CA" w:rsidRDefault="00433DBA" w:rsidP="006032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9CA">
        <w:rPr>
          <w:rFonts w:ascii="Times New Roman" w:hAnsi="Times New Roman" w:cs="Times New Roman"/>
          <w:b/>
          <w:color w:val="000000"/>
          <w:sz w:val="24"/>
          <w:szCs w:val="24"/>
        </w:rPr>
        <w:t>Паспорт муниципальной Программы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«Противодействия коррупции в администрации Кировского муниципального района на 2019-2020 годы» (далее – Программа)</w:t>
            </w:r>
          </w:p>
        </w:tc>
      </w:tr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Кировского муниципального района </w:t>
            </w:r>
          </w:p>
        </w:tc>
      </w:tr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Кировского муниципального района</w:t>
            </w:r>
          </w:p>
        </w:tc>
      </w:tr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выполнение комплекса мероприятий по противодействию коррупции, в том числе: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организационных и правовых основ противодействия коррупции.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 реализация механизма </w:t>
            </w:r>
            <w:proofErr w:type="gramStart"/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 лицами, замещающими муниципальные должности, муниципальными служащими, руководителями муниципальных учреждений, созданных для выполнения задач, поставленных перед администрацией Кировского муниципального района запретов, ограничений и требований, установленных в целях противодействия коррупции.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>Антикоррупционное обучение и антикоррупционная пропаганда, вовлечение кадровых, материальных, информационных и иных ресурсов.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 нужд и в сфере закупок товаров, работ, услуг отдельными видами юридических лиц.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729CA">
              <w:rPr>
                <w:rFonts w:ascii="Times New Roman" w:hAnsi="Times New Roman"/>
                <w:bCs/>
                <w:sz w:val="24"/>
                <w:szCs w:val="24"/>
              </w:rPr>
              <w:t>Обеспечение открытости, доступности для населения деятельности администрации Кировского муниципального района, укрепление их связи с гражданским обществом.</w:t>
            </w:r>
          </w:p>
        </w:tc>
      </w:tr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коррупции»;</w:t>
            </w:r>
          </w:p>
          <w:p w:rsidR="006032D8" w:rsidRPr="00A729CA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6032D8" w:rsidRPr="00A729CA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от 10.03.2009 № 387-КЗ «О противодействии коррупции в Приморском крае»;</w:t>
            </w:r>
          </w:p>
          <w:p w:rsidR="006032D8" w:rsidRPr="00A729CA" w:rsidRDefault="006032D8" w:rsidP="00D173A4">
            <w:pPr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план противодействия коррупции на 2018 – 2020 годы, утвержденным Указом Президента Российской Федерации от 29 июня 2018 года № 378. </w:t>
            </w:r>
          </w:p>
        </w:tc>
      </w:tr>
      <w:tr w:rsidR="006032D8" w:rsidRPr="00A729CA" w:rsidTr="00D173A4">
        <w:trPr>
          <w:trHeight w:val="6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мер, направленных на противодействие коррупции в администрации Кировского муниципального района, позволяющих </w:t>
            </w: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защиту прав и законных интересов граждан, общества и государства от коррупции.             Повышение удовлетворенности населения деятельностью в сфере противодействия коррупции</w:t>
            </w:r>
          </w:p>
        </w:tc>
      </w:tr>
      <w:tr w:rsidR="006032D8" w:rsidRPr="00A729CA" w:rsidTr="00D173A4">
        <w:trPr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организационных и правовых основ противодействия коррупции; </w:t>
            </w:r>
          </w:p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и реализация механизма  </w:t>
            </w:r>
            <w:proofErr w:type="gram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руководителями муниципальных учреждений, созданных для выполнения задач, поставленных перед органами исполнительной власти  запретов, ограничений и требований, установленных в целях противодействия коррупции;</w:t>
            </w:r>
          </w:p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-  антикоррупционное обучение и антикоррупционная пропаганда, вовлечение кадровых, материальных, информационных и других ресурсов;</w:t>
            </w:r>
          </w:p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противодействия коррупции при осуществлении закупок товаров, работ, услуг для обеспечения государственных нужд и в сфере закупок товаров, работ, услуг отдельными видами юридических лиц; </w:t>
            </w:r>
          </w:p>
          <w:p w:rsidR="006032D8" w:rsidRPr="00A729CA" w:rsidRDefault="006032D8" w:rsidP="00D173A4">
            <w:pPr>
              <w:spacing w:after="0"/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открытости, доступности для населения деятельности  администрации Кировского муниципального района, укрепление их связи с гражданским обществом. </w:t>
            </w:r>
          </w:p>
        </w:tc>
      </w:tr>
      <w:tr w:rsidR="006032D8" w:rsidRPr="00A729CA" w:rsidTr="00D173A4">
        <w:trPr>
          <w:trHeight w:val="63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индикаторы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pStyle w:val="a5"/>
              <w:numPr>
                <w:ilvl w:val="0"/>
                <w:numId w:val="2"/>
              </w:numPr>
              <w:spacing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Количество нарушений при проведении закупок товаров, работ, услуг для обеспечения нужд администрации Кировского муниципального района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2"/>
              </w:numPr>
              <w:spacing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администрации Кировского муниципального района, к которым надзорными органами предъявлены обоснованные требования об исключении </w:t>
            </w:r>
            <w:proofErr w:type="spellStart"/>
            <w:r w:rsidRPr="00A729C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729CA">
              <w:rPr>
                <w:rFonts w:ascii="Times New Roman" w:hAnsi="Times New Roman"/>
                <w:sz w:val="24"/>
                <w:szCs w:val="24"/>
              </w:rPr>
              <w:t xml:space="preserve"> факторов, в общем количестве проектов нормативных правовых актов, проходивших антикоррупционную экспертизу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2"/>
              </w:numPr>
              <w:spacing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Доля лиц, замещающих,  муниципальные должности, муниципальных служащих, руководителей муниципальных  учреждений,   допустивших значительные коррупционные правонарушения, выявленные самостоятельно и/или надзорными органами, от общего числа этих лиц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2"/>
              </w:numPr>
              <w:spacing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Количество мероприятий антикоррупционной направленности проведенных в отчетный период</w:t>
            </w:r>
          </w:p>
          <w:p w:rsidR="006032D8" w:rsidRPr="00A729CA" w:rsidRDefault="006032D8" w:rsidP="00D173A4">
            <w:pPr>
              <w:pStyle w:val="a5"/>
              <w:numPr>
                <w:ilvl w:val="0"/>
                <w:numId w:val="2"/>
              </w:numPr>
              <w:spacing w:after="0"/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 служащих  администрации Кировского муниципального района, прошедших </w:t>
            </w:r>
            <w:proofErr w:type="gramStart"/>
            <w:r w:rsidRPr="00A729CA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A729CA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6032D8" w:rsidRPr="00A729CA" w:rsidTr="00D173A4">
        <w:trPr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pacing w:after="0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Программа реализуется в </w:t>
            </w: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2019 - 2020 годах в     1 этап</w:t>
            </w:r>
          </w:p>
        </w:tc>
      </w:tr>
      <w:tr w:rsidR="006032D8" w:rsidRPr="00A729CA" w:rsidTr="00D173A4">
        <w:trPr>
          <w:trHeight w:val="83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</w:t>
            </w:r>
          </w:p>
          <w:p w:rsidR="006032D8" w:rsidRPr="00A729CA" w:rsidRDefault="006032D8" w:rsidP="00D173A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uppressAutoHyphens/>
              <w:autoSpaceDE w:val="0"/>
              <w:autoSpaceDN w:val="0"/>
              <w:adjustRightInd w:val="0"/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осуществляются за счет средств бюджета Кировского муниципального  района в сумме 30000 руб.: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2019 год  -  15000  руб.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sz w:val="24"/>
                <w:szCs w:val="24"/>
              </w:rPr>
              <w:t>2020 год –  15000  руб.</w:t>
            </w:r>
          </w:p>
        </w:tc>
      </w:tr>
      <w:tr w:rsidR="006032D8" w:rsidRPr="00A729CA" w:rsidTr="00D173A4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является одним из инструментов эффективной реализации государственной политики в сфере противодействия коррупции в администрации Кировского муниципального района, выполнение мероприятий программы позволит достичь следующих результатов: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доверия общества к государству и его структурам, повышение удовлетворенности населения деятельностью   администрации Кировского муниципального района  по противодействию коррупции;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правосознания граждан и популяризация  антикоррупционных стандартов поведения;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мотивации лиц,  замещающих муниципальные должности, муниципальных служащих, </w:t>
            </w: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руководителей муниципальных  учреждений, созданных для выполнения задач, поставленных перед органами администрации Кировского муниципального района к  антикоррупционному поведению при исполнении своих должностных обязанностей;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коррупционных правонарушений, совершенных должностными лицами администрации Кировского муниципального района и устранение причин им способствовавших;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минимизация последствий коррупционных правонарушений</w:t>
            </w:r>
          </w:p>
        </w:tc>
      </w:tr>
      <w:tr w:rsidR="006032D8" w:rsidRPr="00A729CA" w:rsidTr="00A729CA">
        <w:trPr>
          <w:trHeight w:val="1109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и  показатели муниципальной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осуществляется с использованием следующих показателей: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числа граждан, удовлетворенных деятельностью органов администрации Кировского муниципального района,    по противодействию коррупции и результатами противодействия коррупции (положительная динамика);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количества нарушений при проведении закупок товаров, работ, услуг для обеспечения нужд администрации Кировского муниципального района,    (отрицательная динамика);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проектов нормативных правовых администрации Кировского муниципального района, к которым надзорными органами предъявлены обоснованные требования об исключении </w:t>
            </w:r>
            <w:proofErr w:type="spell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факторов, в общем количестве проектов нормативных правовых актов, проходивших антикоррупционную экспертизу</w:t>
            </w:r>
            <w:proofErr w:type="gram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лиц, замещающих,  муниципальные должности, муниципальных служащих, руководителей муниципальных  учреждений,   допустивших значительные коррупционные правонарушения, выявленные самостоятельно и/или надзорными органами, от общего числа этих лиц</w:t>
            </w:r>
            <w:proofErr w:type="gram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мероприятий антикоррупционной направленности проведенных в отчетный период (ед.); </w:t>
            </w:r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численность муниципальных  служащих  администрации Кировского муниципального района, прошедших </w:t>
            </w:r>
            <w:proofErr w:type="gram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(чел.); </w:t>
            </w:r>
          </w:p>
          <w:p w:rsid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публикаций в СМИ, размещение информационных сообщений на официальном сайте администрации Кировского муниципального района, </w:t>
            </w:r>
            <w:proofErr w:type="gramStart"/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32D8" w:rsidRPr="00A729CA" w:rsidRDefault="006032D8" w:rsidP="00D173A4">
            <w:pPr>
              <w:spacing w:after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противодействия коррупции (ед.). </w:t>
            </w:r>
          </w:p>
        </w:tc>
      </w:tr>
    </w:tbl>
    <w:p w:rsidR="006032D8" w:rsidRPr="00C64111" w:rsidRDefault="006032D8" w:rsidP="00603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D8" w:rsidRPr="00C64111" w:rsidRDefault="006032D8" w:rsidP="00603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D8" w:rsidRPr="00C64111" w:rsidRDefault="006032D8" w:rsidP="00603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D8" w:rsidRDefault="006032D8"/>
    <w:p w:rsidR="006032D8" w:rsidRDefault="006032D8"/>
    <w:p w:rsidR="00D173A4" w:rsidRDefault="00D173A4"/>
    <w:p w:rsidR="00A729CA" w:rsidRDefault="00A729CA">
      <w:pPr>
        <w:rPr>
          <w:sz w:val="24"/>
          <w:szCs w:val="24"/>
        </w:rPr>
      </w:pPr>
    </w:p>
    <w:p w:rsidR="00A729CA" w:rsidRPr="00A729CA" w:rsidRDefault="00A729CA">
      <w:pPr>
        <w:rPr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6032D8" w:rsidRPr="00A729CA" w:rsidTr="00D173A4">
        <w:tc>
          <w:tcPr>
            <w:tcW w:w="3793" w:type="dxa"/>
          </w:tcPr>
          <w:p w:rsidR="006032D8" w:rsidRPr="00A729CA" w:rsidRDefault="006032D8" w:rsidP="00D1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УТВЕРЖДЕНА </w:t>
            </w:r>
          </w:p>
          <w:p w:rsidR="006032D8" w:rsidRPr="00A729CA" w:rsidRDefault="006032D8" w:rsidP="00D1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Pr="00A729CA">
              <w:rPr>
                <w:rFonts w:ascii="Times New Roman" w:hAnsi="Times New Roman"/>
                <w:sz w:val="24"/>
                <w:szCs w:val="24"/>
              </w:rPr>
              <w:br/>
              <w:t xml:space="preserve">Кировского муниципального района </w:t>
            </w:r>
          </w:p>
          <w:p w:rsidR="006032D8" w:rsidRPr="00A729CA" w:rsidRDefault="006032D8" w:rsidP="00D1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от  «___» _________ 2018г.</w:t>
            </w:r>
          </w:p>
          <w:p w:rsidR="006032D8" w:rsidRPr="00A729CA" w:rsidRDefault="006032D8" w:rsidP="00D1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№ ______           </w:t>
            </w:r>
          </w:p>
        </w:tc>
      </w:tr>
    </w:tbl>
    <w:p w:rsidR="006032D8" w:rsidRPr="00A729CA" w:rsidRDefault="006032D8" w:rsidP="00603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032D8" w:rsidRPr="00A729CA" w:rsidRDefault="006032D8" w:rsidP="00603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  <w:r w:rsidRPr="00A729CA">
        <w:rPr>
          <w:rFonts w:ascii="Times New Roman" w:hAnsi="Times New Roman"/>
          <w:sz w:val="24"/>
          <w:szCs w:val="24"/>
        </w:rPr>
        <w:t xml:space="preserve"> </w:t>
      </w:r>
    </w:p>
    <w:p w:rsidR="006032D8" w:rsidRPr="00A729CA" w:rsidRDefault="00D173A4" w:rsidP="00603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«П</w:t>
      </w:r>
      <w:r w:rsidR="006032D8" w:rsidRPr="00A729CA">
        <w:rPr>
          <w:rFonts w:ascii="Times New Roman" w:hAnsi="Times New Roman"/>
          <w:b/>
          <w:bCs/>
          <w:sz w:val="24"/>
          <w:szCs w:val="24"/>
        </w:rPr>
        <w:t>ротиводействия коррупции в администрации Кировского муниципального района на 2019 – 2020 годы</w:t>
      </w:r>
      <w:r w:rsidRPr="00A729CA">
        <w:rPr>
          <w:rFonts w:ascii="Times New Roman" w:hAnsi="Times New Roman"/>
          <w:b/>
          <w:bCs/>
          <w:sz w:val="24"/>
          <w:szCs w:val="24"/>
        </w:rPr>
        <w:t>»</w:t>
      </w:r>
      <w:r w:rsidR="006032D8" w:rsidRPr="00A729CA">
        <w:rPr>
          <w:rFonts w:ascii="Times New Roman" w:hAnsi="Times New Roman"/>
          <w:sz w:val="24"/>
          <w:szCs w:val="24"/>
        </w:rPr>
        <w:br/>
      </w:r>
      <w:r w:rsidR="006032D8" w:rsidRPr="00A729CA">
        <w:rPr>
          <w:rFonts w:ascii="Times New Roman" w:hAnsi="Times New Roman"/>
          <w:sz w:val="24"/>
          <w:szCs w:val="24"/>
        </w:rPr>
        <w:br/>
      </w:r>
      <w:r w:rsidR="006032D8" w:rsidRPr="00A729CA">
        <w:rPr>
          <w:rFonts w:ascii="Times New Roman" w:hAnsi="Times New Roman"/>
          <w:sz w:val="24"/>
          <w:szCs w:val="24"/>
        </w:rPr>
        <w:br/>
      </w:r>
      <w:r w:rsidR="006032D8" w:rsidRPr="00A729CA">
        <w:rPr>
          <w:rFonts w:ascii="Times New Roman" w:hAnsi="Times New Roman"/>
          <w:b/>
          <w:bCs/>
          <w:sz w:val="24"/>
          <w:szCs w:val="24"/>
        </w:rPr>
        <w:t>I. ОБЩАЯ ХАРАКТЕРИСТИКА СФЕРЫ РЕАЛИЗАЦИИ ПРОГРАММЫ, ПРОБЛЕМЫ И ПУТИ ИХ РЕШЕНИЯ ПРОГРАММНЫМ МЕТОДОМ</w:t>
      </w:r>
    </w:p>
    <w:p w:rsidR="006032D8" w:rsidRPr="00A729CA" w:rsidRDefault="006032D8" w:rsidP="00603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Настоящая Программа «Противодействия коррупции в администрации Кировского муниципального района «(далее – Программа) разработана в соответствии с Национальным планом противодействия коррупции на 2018 – 2020 годы, утвержденным Указом Президента Российской Федерации от 29 июня 2018 года № 378. </w:t>
      </w:r>
    </w:p>
    <w:p w:rsidR="006032D8" w:rsidRPr="00A729CA" w:rsidRDefault="006032D8" w:rsidP="006032D8">
      <w:pPr>
        <w:pStyle w:val="a6"/>
        <w:spacing w:line="276" w:lineRule="auto"/>
        <w:ind w:firstLine="567"/>
        <w:jc w:val="both"/>
      </w:pPr>
      <w:r w:rsidRPr="00A729CA"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6032D8" w:rsidRPr="00A729CA" w:rsidRDefault="006032D8" w:rsidP="006032D8">
      <w:pPr>
        <w:pStyle w:val="a6"/>
        <w:spacing w:line="276" w:lineRule="auto"/>
        <w:ind w:firstLine="567"/>
        <w:jc w:val="both"/>
      </w:pPr>
      <w:r w:rsidRPr="00A729CA">
        <w:t xml:space="preserve"> </w:t>
      </w:r>
      <w:proofErr w:type="gramStart"/>
      <w:r w:rsidRPr="00A729CA">
        <w:t xml:space="preserve">В дальнейшем так же необходимо </w:t>
      </w:r>
      <w:r w:rsidRPr="00A729CA">
        <w:rPr>
          <w:spacing w:val="-4"/>
        </w:rPr>
        <w:t>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</w:t>
      </w:r>
      <w:r w:rsidRPr="00A729CA">
        <w:t xml:space="preserve"> р</w:t>
      </w:r>
      <w:r w:rsidRPr="00A729CA">
        <w:rPr>
          <w:spacing w:val="-4"/>
        </w:rPr>
        <w:t>азъяснять муниципальным служащим администрации Кировского муниципального района 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</w:t>
      </w:r>
      <w:proofErr w:type="gramEnd"/>
      <w:r w:rsidRPr="00A729CA">
        <w:rPr>
          <w:spacing w:val="-4"/>
        </w:rPr>
        <w:t xml:space="preserve"> часто встречающихся </w:t>
      </w:r>
      <w:proofErr w:type="gramStart"/>
      <w:r w:rsidRPr="00A729CA">
        <w:rPr>
          <w:spacing w:val="-4"/>
        </w:rPr>
        <w:t>ошибках</w:t>
      </w:r>
      <w:proofErr w:type="gramEnd"/>
      <w:r w:rsidRPr="00A729CA">
        <w:rPr>
          <w:spacing w:val="-4"/>
        </w:rPr>
        <w:t xml:space="preserve"> при заполнении муниципальными служащими сведений о доходах и расходах. </w:t>
      </w:r>
      <w:r w:rsidRPr="00A729CA">
        <w:t xml:space="preserve"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Наиболее эффективной реализации любой программы способствует программно-целевой метод планирования, суть которого заключается в определении ее основных целей, постановке задач для их достижения, разработке и осуществлении мероприятий, позволяющих их решить в намеченные сроки при сбалансированном обеспечении ресурсами. </w:t>
      </w:r>
    </w:p>
    <w:p w:rsidR="006032D8" w:rsidRPr="00A729CA" w:rsidRDefault="006032D8" w:rsidP="006032D8">
      <w:pPr>
        <w:pStyle w:val="a6"/>
        <w:spacing w:line="276" w:lineRule="auto"/>
        <w:ind w:firstLine="567"/>
        <w:jc w:val="both"/>
      </w:pPr>
      <w:r w:rsidRPr="00A729CA">
        <w:t xml:space="preserve">С учетом изложенного, программно-целевой метод представляется наиболее целесообразным для качественной реализации антикоррупционной программы в администрации Кировского муниципального района. </w:t>
      </w:r>
    </w:p>
    <w:p w:rsidR="006032D8" w:rsidRPr="00A729CA" w:rsidRDefault="006032D8" w:rsidP="006032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II. ЦЕЛИ ПРОГРАММЫ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Программа разработана для достижения следующих основных целей: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lastRenderedPageBreak/>
        <w:t xml:space="preserve">- совершенствование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интересов граждан, общества и государства от коррупции, повышение удовлетворенности населения деятельностью в сфере противодействия коррупции. </w:t>
      </w:r>
    </w:p>
    <w:p w:rsidR="006032D8" w:rsidRPr="00A729CA" w:rsidRDefault="006032D8" w:rsidP="006032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III. ЗАДАЧИ ПРОГРАММЫ</w:t>
      </w:r>
    </w:p>
    <w:p w:rsidR="006032D8" w:rsidRPr="00A729CA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совершенствование организационных и правовых основ противодействия коррупции;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совершенствование и реализация механизма  </w:t>
      </w:r>
      <w:proofErr w:type="gramStart"/>
      <w:r w:rsidRPr="00A729CA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A729CA">
        <w:rPr>
          <w:rFonts w:ascii="Times New Roman" w:hAnsi="Times New Roman"/>
          <w:sz w:val="24"/>
          <w:szCs w:val="24"/>
        </w:rPr>
        <w:t xml:space="preserve"> соблюдением лицами, замещающими муниципальные должности, муниципальными служащими, руководителями муниципальных учреждений, созданных для выполнения задач, поставленных перед органами исполнительной власти  запретов, ограничений и требований, установленных в целях противодействия коррупции;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>- антикоррупционное обучение и антикоррупционная пропаганда, вовлечение кадровых, материальных, информационных и других ресурсов;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-повышение эффективности противодействия коррупции при осуществлении закупок товаров, работ, услуг для обеспечения государственных нужд и в сфере закупок товаров, работ, услуг отдельными видами юридических лиц;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обеспечение открытости, доступности для населения деятельности  администрации Кировского муниципального района, укрепление их связи с гражданским обществом.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29CA">
        <w:rPr>
          <w:rFonts w:ascii="Times New Roman" w:hAnsi="Times New Roman"/>
          <w:b/>
          <w:bCs/>
          <w:caps/>
          <w:sz w:val="24"/>
          <w:szCs w:val="24"/>
        </w:rPr>
        <w:t xml:space="preserve">IV. Целевые индикаторы </w:t>
      </w:r>
    </w:p>
    <w:p w:rsidR="006032D8" w:rsidRPr="00A729CA" w:rsidRDefault="006032D8" w:rsidP="006032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32D8" w:rsidRPr="00A729CA" w:rsidRDefault="006032D8" w:rsidP="006032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729CA">
        <w:rPr>
          <w:rFonts w:ascii="Times New Roman" w:hAnsi="Times New Roman"/>
          <w:color w:val="000000"/>
          <w:spacing w:val="-4"/>
          <w:sz w:val="24"/>
          <w:szCs w:val="24"/>
        </w:rPr>
        <w:t>Целевые индикаторы и показатели Программы соответствуют ее приоритетам, целям и задачам: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913"/>
        <w:gridCol w:w="992"/>
        <w:gridCol w:w="851"/>
        <w:gridCol w:w="913"/>
      </w:tblGrid>
      <w:tr w:rsidR="006032D8" w:rsidRPr="00A729CA" w:rsidTr="00D173A4">
        <w:trPr>
          <w:trHeight w:val="241"/>
        </w:trPr>
        <w:tc>
          <w:tcPr>
            <w:tcW w:w="716" w:type="dxa"/>
            <w:vMerge w:val="restart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</w:t>
            </w:r>
          </w:p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proofErr w:type="gramStart"/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5913" w:type="dxa"/>
            <w:vMerge w:val="restart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Показатель (индикатор)</w:t>
            </w:r>
          </w:p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Ед.</w:t>
            </w:r>
          </w:p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Значение показателей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vMerge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13" w:type="dxa"/>
            <w:vMerge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2020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="006032D8"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Количество нарушений при проведении закупок товаров, работ, услуг для обеспечения нужд администрации Кировского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2</w:t>
            </w:r>
            <w:r w:rsidR="006032D8"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администрации Кировского муниципального района, к которым надзорными органами предъявлены обоснованные требования об исключении </w:t>
            </w:r>
            <w:proofErr w:type="spellStart"/>
            <w:r w:rsidRPr="00A729C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729CA">
              <w:rPr>
                <w:rFonts w:ascii="Times New Roman" w:hAnsi="Times New Roman"/>
                <w:sz w:val="24"/>
                <w:szCs w:val="24"/>
              </w:rPr>
              <w:t xml:space="preserve"> факторов, в общем количестве проектов нормативных правовых актов, проходивших антикоррупционную экспертизу</w:t>
            </w:r>
          </w:p>
        </w:tc>
        <w:tc>
          <w:tcPr>
            <w:tcW w:w="992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100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3</w:t>
            </w:r>
            <w:r w:rsidR="006032D8"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913" w:type="dxa"/>
            <w:shd w:val="clear" w:color="auto" w:fill="auto"/>
          </w:tcPr>
          <w:p w:rsidR="006032D8" w:rsidRPr="00A729CA" w:rsidRDefault="006032D8" w:rsidP="00D173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Доля лиц, замещающих,  муниципальные должности, муниципальных служащих, руководителей муниципальных  учреждений,   допустивших значительные коррупционные правонарушения, выявленные самостоятельно и/или надзорными органами, от общего числа этих лиц </w:t>
            </w:r>
          </w:p>
        </w:tc>
        <w:tc>
          <w:tcPr>
            <w:tcW w:w="992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  <w:t>5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4</w:t>
            </w:r>
            <w:r w:rsidR="006032D8"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913" w:type="dxa"/>
            <w:shd w:val="clear" w:color="auto" w:fill="auto"/>
          </w:tcPr>
          <w:p w:rsidR="006032D8" w:rsidRPr="00A729CA" w:rsidRDefault="006032D8" w:rsidP="00D173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антикоррупционной направленности проведенных в отчетный период </w:t>
            </w:r>
          </w:p>
        </w:tc>
        <w:tc>
          <w:tcPr>
            <w:tcW w:w="992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sz w:val="24"/>
                <w:szCs w:val="24"/>
                <w:highlight w:val="yellow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D173A4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  <w:t>25</w:t>
            </w:r>
          </w:p>
        </w:tc>
      </w:tr>
      <w:tr w:rsidR="006032D8" w:rsidRPr="00A729CA" w:rsidTr="00D173A4">
        <w:trPr>
          <w:trHeight w:val="242"/>
        </w:trPr>
        <w:tc>
          <w:tcPr>
            <w:tcW w:w="716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5913" w:type="dxa"/>
            <w:shd w:val="clear" w:color="auto" w:fill="auto"/>
          </w:tcPr>
          <w:p w:rsidR="006032D8" w:rsidRPr="00A729CA" w:rsidRDefault="006032D8" w:rsidP="00D173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 служащих  администрации Кировского муниципального района, прошедших </w:t>
            </w:r>
            <w:proofErr w:type="gramStart"/>
            <w:r w:rsidRPr="00A729CA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A729CA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992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6032D8" w:rsidRPr="00A729CA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729C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</w:tbl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V. МЕРОПРИЯТИЯ ПРОГРАММЫ</w:t>
      </w: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Программа предусматривает реализацию перечня мероприятий по противодействию коррупции в администрации Кировского муниципального района  на 2019 – 2020 годы (приложение № 1).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Pr="00A729CA">
        <w:rPr>
          <w:rFonts w:ascii="Times New Roman" w:hAnsi="Times New Roman"/>
          <w:b/>
          <w:bCs/>
          <w:caps/>
          <w:sz w:val="24"/>
          <w:szCs w:val="24"/>
        </w:rPr>
        <w:t xml:space="preserve">Ресурсное обеспечение реализации муниципальной программы </w:t>
      </w:r>
    </w:p>
    <w:p w:rsidR="006032D8" w:rsidRPr="00A729CA" w:rsidRDefault="006032D8" w:rsidP="006032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за счет средств  бюджета Кировского муниципального района. Общий объем средств выделяемых на реализацию мероприятий Программы составляет 30,0 тыс. руб., из них: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>2019 год -  15,0 тыс. руб.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>2020 год –  15,0 тыс. руб.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729CA">
        <w:rPr>
          <w:rFonts w:ascii="Times New Roman" w:hAnsi="Times New Roman"/>
          <w:color w:val="000000"/>
          <w:spacing w:val="-4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2 к Программе.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729CA">
        <w:rPr>
          <w:rFonts w:ascii="Times New Roman" w:hAnsi="Times New Roman"/>
          <w:color w:val="000000"/>
          <w:spacing w:val="-4"/>
          <w:sz w:val="24"/>
          <w:szCs w:val="24"/>
        </w:rPr>
        <w:t>Мероприятия Программы и объемы ее финансирования уточняются ежегодно при формировании проекта местного бюджета на соответствующий финансовый год и плановый период.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VII. СРОКИ РЕАЛИЗАЦИИ ПРОГРАММЫ</w:t>
      </w:r>
    </w:p>
    <w:p w:rsidR="006032D8" w:rsidRPr="00A729CA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A729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Реализация программы рассчитана на период 2019 – 2020 годов. </w:t>
      </w:r>
      <w:bookmarkStart w:id="0" w:name="_GoBack"/>
      <w:bookmarkEnd w:id="0"/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>VIII. ОЖИДАЕМЫЕ РЕЗУЛЬТАТЫ ОТ РЕАЛИЗАЦИИ ПРОГРАММЫ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Программа является одним из инструментов эффективной реализации государственной политики в сфере противодействия коррупции в администрации Кировского муниципального района.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Выполнение мероприятий программы позволит достичь следующих результатов: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укрепление доверия общества к государству и его структурам, повышение удовлетворенности населения деятельностью   администрации Кировского муниципального района  по противодействию коррупции;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повышение уровня правосознания граждан и популяризация  антикоррупционных стандартов поведения;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повышение мотивации лиц,  замещающих муниципальные должности, муниципальных служащих, руководителей муниципальных  учреждений, созданных для выполнения задач, поставленных перед органами администрации Кировского </w:t>
      </w:r>
      <w:r w:rsidRPr="00A729CA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 к  антикоррупционному поведению при исполнении своих должностных обязанностей;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выявление коррупционных правонарушений, совершенных должностными лицами администрации Кировского муниципального района  и устранение причин им способствовавших;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минимизация последствий коррупционных правонарушений. </w:t>
      </w: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29C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729CA">
        <w:rPr>
          <w:rFonts w:ascii="Times New Roman" w:hAnsi="Times New Roman"/>
          <w:b/>
          <w:bCs/>
          <w:sz w:val="24"/>
          <w:szCs w:val="24"/>
        </w:rPr>
        <w:t>Х.</w:t>
      </w:r>
      <w:proofErr w:type="gramEnd"/>
      <w:r w:rsidRPr="00A729CA">
        <w:rPr>
          <w:rFonts w:ascii="Times New Roman" w:hAnsi="Times New Roman"/>
          <w:b/>
          <w:bCs/>
          <w:sz w:val="24"/>
          <w:szCs w:val="24"/>
        </w:rPr>
        <w:t xml:space="preserve"> КРИТЕРИИ ОЦЕНКИ ЭФФЕКТИВНОСТИ ПРОГРАММЫ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по итогам ее реализации за отчетный год и в целом за весь период реализации Программы.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с использованием следующих показателей: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увеличение числа граждан, удовлетворенных деятельностью органов администрации Кировского муниципального района, по противодействию коррупции и результатами противодействия коррупции (положительная динамика);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снижение количества нарушений при проведении закупок товаров, работ, услуг для обеспечения нужд администрации Кировского муниципального района, (отрицательная динамика);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доля проектов нормативных правовых администрации Кировского муниципального района, к которым надзорными органами предъявлены обоснованные требования об исключении </w:t>
      </w:r>
      <w:proofErr w:type="spellStart"/>
      <w:r w:rsidRPr="00A729CA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A729CA">
        <w:rPr>
          <w:rFonts w:ascii="Times New Roman" w:hAnsi="Times New Roman"/>
          <w:sz w:val="24"/>
          <w:szCs w:val="24"/>
        </w:rPr>
        <w:t xml:space="preserve"> факторов, в общем количестве проектов нормативных правовых актов, проходивших антикоррупционную экспертизу</w:t>
      </w:r>
      <w:proofErr w:type="gramStart"/>
      <w:r w:rsidRPr="00A729CA">
        <w:rPr>
          <w:rFonts w:ascii="Times New Roman" w:hAnsi="Times New Roman"/>
          <w:sz w:val="24"/>
          <w:szCs w:val="24"/>
        </w:rPr>
        <w:t xml:space="preserve"> (%); </w:t>
      </w:r>
      <w:proofErr w:type="gramEnd"/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>- доля лиц, замещающих,  муниципальные должности, муниципальных служащих, руководителей муниципальных  учреждений,   допустивших значительные коррупционные правонарушения, выявленные самостоятельно и/или надзорными органами, от общего числа этих лиц</w:t>
      </w:r>
      <w:proofErr w:type="gramStart"/>
      <w:r w:rsidRPr="00A729CA">
        <w:rPr>
          <w:rFonts w:ascii="Times New Roman" w:hAnsi="Times New Roman"/>
          <w:sz w:val="24"/>
          <w:szCs w:val="24"/>
        </w:rPr>
        <w:t xml:space="preserve"> (%); </w:t>
      </w:r>
      <w:proofErr w:type="gramEnd"/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количество мероприятий антикоррупционной направленности проведенных в отчетный период (ед.);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численность муниципальных  служащих  администрации Кировского муниципального района, прошедших </w:t>
      </w:r>
      <w:proofErr w:type="gramStart"/>
      <w:r w:rsidRPr="00A729CA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A729CA">
        <w:rPr>
          <w:rFonts w:ascii="Times New Roman" w:hAnsi="Times New Roman"/>
          <w:sz w:val="24"/>
          <w:szCs w:val="24"/>
        </w:rPr>
        <w:t xml:space="preserve"> противодействия коррупции (чел.); </w:t>
      </w:r>
    </w:p>
    <w:p w:rsidR="006032D8" w:rsidRPr="00A729CA" w:rsidRDefault="006032D8" w:rsidP="006032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- количество публикаций в СМИ, размещение информационных сообщений на официальном сайте администрации Кировского муниципального района, по вопросам противодействия коррупции (ед.). </w:t>
      </w:r>
    </w:p>
    <w:p w:rsidR="006032D8" w:rsidRPr="00A729CA" w:rsidRDefault="006032D8" w:rsidP="006032D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2D8" w:rsidRPr="00A729CA" w:rsidRDefault="006032D8" w:rsidP="006032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9CA">
        <w:rPr>
          <w:rFonts w:ascii="Times New Roman" w:hAnsi="Times New Roman"/>
          <w:b/>
          <w:bCs/>
          <w:sz w:val="24"/>
          <w:szCs w:val="24"/>
        </w:rPr>
        <w:t xml:space="preserve">Х. СИСТЕМА </w:t>
      </w:r>
      <w:proofErr w:type="gramStart"/>
      <w:r w:rsidRPr="00A729CA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A729CA">
        <w:rPr>
          <w:rFonts w:ascii="Times New Roman" w:hAnsi="Times New Roman"/>
          <w:b/>
          <w:bCs/>
          <w:sz w:val="24"/>
          <w:szCs w:val="24"/>
        </w:rPr>
        <w:t xml:space="preserve"> ИСПОЛНЕНИЕМ ПРОГРАММЫ</w:t>
      </w:r>
    </w:p>
    <w:p w:rsidR="006032D8" w:rsidRPr="00A729CA" w:rsidRDefault="006032D8" w:rsidP="006032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2D8" w:rsidRPr="00A729CA" w:rsidRDefault="006032D8" w:rsidP="006032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9CA">
        <w:rPr>
          <w:rFonts w:ascii="Times New Roman" w:hAnsi="Times New Roman"/>
          <w:sz w:val="24"/>
          <w:szCs w:val="24"/>
        </w:rPr>
        <w:t xml:space="preserve">Общее управление и </w:t>
      </w:r>
      <w:proofErr w:type="gramStart"/>
      <w:r w:rsidRPr="00A729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9CA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руководитель аппарата администрации Кировского муниципального района. Исполнители Программы ежеквартально до 15 числа месяца, следующего за отчетным периодом, представляют руководителю аппарата администрации Кировского  муниципального района отчеты о реализации мероприятий Программы, в том числе содержащие анализ причин несвоевременного их выполнения. Руководитель аппарата  администрации Кировского муниципального района представляет главе  района доклад о ходе реализации Программы за отчетный год, включающий в себя сводную информацию о </w:t>
      </w:r>
      <w:r w:rsidRPr="00A729CA">
        <w:rPr>
          <w:rFonts w:ascii="Times New Roman" w:hAnsi="Times New Roman"/>
          <w:sz w:val="24"/>
          <w:szCs w:val="24"/>
        </w:rPr>
        <w:lastRenderedPageBreak/>
        <w:t>результатах реализации Программы.</w:t>
      </w: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2D8" w:rsidRPr="003A6B03" w:rsidRDefault="006032D8" w:rsidP="006032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B03">
        <w:rPr>
          <w:rFonts w:ascii="Times New Roman" w:hAnsi="Times New Roman"/>
          <w:sz w:val="24"/>
          <w:szCs w:val="24"/>
        </w:rPr>
        <w:br/>
      </w:r>
    </w:p>
    <w:p w:rsidR="006032D8" w:rsidRDefault="006032D8" w:rsidP="00603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32D8" w:rsidSect="00A72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42" w:left="1418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032D8" w:rsidTr="00D173A4">
        <w:trPr>
          <w:jc w:val="right"/>
        </w:trPr>
        <w:tc>
          <w:tcPr>
            <w:tcW w:w="5068" w:type="dxa"/>
          </w:tcPr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ротиводейс</w:t>
            </w:r>
            <w:r w:rsidR="00D173A4">
              <w:rPr>
                <w:rFonts w:ascii="Times New Roman" w:hAnsi="Times New Roman"/>
                <w:sz w:val="24"/>
                <w:szCs w:val="24"/>
              </w:rPr>
              <w:t>твия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коррупции в администрации 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- 2020 год</w:t>
            </w:r>
            <w:r>
              <w:rPr>
                <w:rFonts w:ascii="Times New Roman" w:hAnsi="Times New Roman"/>
                <w:sz w:val="24"/>
                <w:szCs w:val="24"/>
              </w:rPr>
              <w:t>ы»,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утвержденной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     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D8" w:rsidRDefault="006032D8" w:rsidP="00D173A4">
            <w:pPr>
              <w:tabs>
                <w:tab w:val="left" w:pos="5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______________ 2018г</w:t>
            </w:r>
          </w:p>
          <w:p w:rsidR="006032D8" w:rsidRDefault="006032D8" w:rsidP="00D173A4">
            <w:pPr>
              <w:tabs>
                <w:tab w:val="left" w:pos="5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</w:tbl>
    <w:p w:rsidR="006032D8" w:rsidRPr="00FE57BF" w:rsidRDefault="006032D8" w:rsidP="00603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7BF">
        <w:rPr>
          <w:rFonts w:ascii="Times New Roman" w:hAnsi="Times New Roman"/>
          <w:b/>
          <w:bCs/>
          <w:sz w:val="24"/>
          <w:szCs w:val="24"/>
        </w:rPr>
        <w:t xml:space="preserve">Обобщенная </w:t>
      </w:r>
      <w:r w:rsidRPr="00FE57BF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proofErr w:type="gramStart"/>
      <w:r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составе муниципальной программы </w:t>
      </w:r>
    </w:p>
    <w:p w:rsidR="006032D8" w:rsidRPr="003A6B03" w:rsidRDefault="00D173A4" w:rsidP="00603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мероприятий «Противодействия</w:t>
      </w:r>
      <w:r w:rsidR="006032D8" w:rsidRPr="003A6B03">
        <w:rPr>
          <w:rFonts w:ascii="Times New Roman" w:hAnsi="Times New Roman"/>
          <w:b/>
          <w:bCs/>
          <w:sz w:val="24"/>
          <w:szCs w:val="24"/>
        </w:rPr>
        <w:t xml:space="preserve"> корр</w:t>
      </w:r>
      <w:r w:rsidR="006032D8">
        <w:rPr>
          <w:rFonts w:ascii="Times New Roman" w:hAnsi="Times New Roman"/>
          <w:b/>
          <w:bCs/>
          <w:sz w:val="24"/>
          <w:szCs w:val="24"/>
        </w:rPr>
        <w:t>упции в администрации Кировского муниципального района на 2019</w:t>
      </w:r>
      <w:r w:rsidR="006032D8" w:rsidRPr="003A6B03">
        <w:rPr>
          <w:rFonts w:ascii="Times New Roman" w:hAnsi="Times New Roman"/>
          <w:b/>
          <w:bCs/>
          <w:sz w:val="24"/>
          <w:szCs w:val="24"/>
        </w:rPr>
        <w:t xml:space="preserve"> – 2020 годы</w:t>
      </w:r>
      <w:r w:rsidR="006032D8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84"/>
        <w:gridCol w:w="4264"/>
        <w:gridCol w:w="121"/>
        <w:gridCol w:w="1878"/>
        <w:gridCol w:w="151"/>
        <w:gridCol w:w="1692"/>
        <w:gridCol w:w="1833"/>
        <w:gridCol w:w="1828"/>
        <w:gridCol w:w="2135"/>
      </w:tblGrid>
      <w:tr w:rsidR="006032D8" w:rsidRPr="00180253" w:rsidTr="00D173A4">
        <w:trPr>
          <w:trHeight w:val="170"/>
        </w:trPr>
        <w:tc>
          <w:tcPr>
            <w:tcW w:w="299" w:type="pct"/>
            <w:vMerge w:val="restar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83" w:type="pct"/>
            <w:gridSpan w:val="2"/>
            <w:vMerge w:val="restar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6" w:type="pct"/>
            <w:gridSpan w:val="2"/>
            <w:vMerge w:val="restar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ь, соисполнители</w:t>
            </w:r>
          </w:p>
        </w:tc>
        <w:tc>
          <w:tcPr>
            <w:tcW w:w="1192" w:type="pct"/>
            <w:gridSpan w:val="2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618" w:type="pct"/>
            <w:vMerge w:val="restart"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(описание)</w:t>
            </w:r>
          </w:p>
        </w:tc>
        <w:tc>
          <w:tcPr>
            <w:tcW w:w="722" w:type="pct"/>
            <w:vMerge w:val="restart"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vMerge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pct"/>
            <w:gridSpan w:val="2"/>
            <w:vMerge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Merge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начала реализации мероприятия </w:t>
            </w:r>
          </w:p>
        </w:tc>
        <w:tc>
          <w:tcPr>
            <w:tcW w:w="620" w:type="pct"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мероприятия </w:t>
            </w:r>
          </w:p>
        </w:tc>
        <w:tc>
          <w:tcPr>
            <w:tcW w:w="618" w:type="pct"/>
            <w:vMerge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1" w:type="pct"/>
            <w:gridSpan w:val="8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организационных и правовых основ противодействия коррупции</w:t>
            </w: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Корректировка либо принятие новых ведомственных планов противодействия коррупции в связи с утверждением Национального плана противодействия коррупции на 2018 – 2020 годы и настоящей программы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2019г.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2019г.</w:t>
            </w:r>
          </w:p>
        </w:tc>
        <w:tc>
          <w:tcPr>
            <w:tcW w:w="618" w:type="pct"/>
            <w:vMerge w:val="restart"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B5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</w:t>
            </w:r>
            <w:r w:rsidRPr="00564B55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граждан, общества и государства от коррупции, повышение удовлетворенности населения деятельностью в сфере противодействия коррупции</w:t>
            </w:r>
          </w:p>
        </w:tc>
        <w:tc>
          <w:tcPr>
            <w:tcW w:w="722" w:type="pct"/>
            <w:vMerge w:val="restart"/>
          </w:tcPr>
          <w:p w:rsidR="0095527D" w:rsidRPr="0095527D" w:rsidRDefault="0095527D" w:rsidP="0095527D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95527D">
              <w:rPr>
                <w:sz w:val="20"/>
                <w:szCs w:val="20"/>
              </w:rPr>
              <w:lastRenderedPageBreak/>
              <w:t xml:space="preserve"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</w:t>
            </w:r>
            <w:r w:rsidRPr="0095527D">
              <w:rPr>
                <w:sz w:val="20"/>
                <w:szCs w:val="20"/>
              </w:rPr>
              <w:lastRenderedPageBreak/>
              <w:t>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      </w:r>
          </w:p>
          <w:p w:rsidR="0095527D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Обеспечение разработки и утверждения ежегодных планов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Комиссии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ежегодно, не позднее 15 декабря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ежегодно, не позднее 15 декабря</w:t>
            </w:r>
          </w:p>
        </w:tc>
        <w:tc>
          <w:tcPr>
            <w:tcW w:w="618" w:type="pct"/>
            <w:vMerge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Рассмотрение ежегодных отчетов о выполнении Программы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коррупции в администрации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Кировского муниципального района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февраля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ежегодно, до 1 февраля</w:t>
            </w:r>
          </w:p>
        </w:tc>
        <w:tc>
          <w:tcPr>
            <w:tcW w:w="618" w:type="pct"/>
            <w:vMerge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 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подведомственных им организаций в сфере профилактики коррупционных правонарушений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8" w:type="pct"/>
            <w:vMerge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5527D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3A6B0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области противодействия коррупции, в том числе рассмотрение вопросов правоприменительной 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экспертизы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тально </w:t>
            </w:r>
          </w:p>
        </w:tc>
        <w:tc>
          <w:tcPr>
            <w:tcW w:w="618" w:type="pct"/>
            <w:vMerge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5527D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7D" w:rsidRPr="00180253" w:rsidTr="00D173A4">
        <w:trPr>
          <w:trHeight w:val="170"/>
        </w:trPr>
        <w:tc>
          <w:tcPr>
            <w:tcW w:w="299" w:type="pct"/>
            <w:hideMark/>
          </w:tcPr>
          <w:p w:rsidR="0095527D" w:rsidRPr="006E0272" w:rsidRDefault="0095527D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483" w:type="pct"/>
            <w:gridSpan w:val="2"/>
            <w:hideMark/>
          </w:tcPr>
          <w:p w:rsidR="0095527D" w:rsidRPr="003A6B03" w:rsidRDefault="0095527D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</w:p>
        </w:tc>
        <w:tc>
          <w:tcPr>
            <w:tcW w:w="686" w:type="pct"/>
            <w:gridSpan w:val="2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экспертизы</w:t>
            </w:r>
          </w:p>
        </w:tc>
        <w:tc>
          <w:tcPr>
            <w:tcW w:w="572" w:type="pct"/>
            <w:hideMark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620" w:type="pct"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618" w:type="pct"/>
            <w:vMerge/>
          </w:tcPr>
          <w:p w:rsidR="0095527D" w:rsidRPr="00564B55" w:rsidRDefault="0095527D" w:rsidP="00D1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95527D" w:rsidRPr="003A6B03" w:rsidRDefault="0095527D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1" w:type="pct"/>
            <w:gridSpan w:val="8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и реализация механи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соблюдением 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лицами, замещающими муниципальные должности, муниципальными служащими, руково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дителями муниципальных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учреждений, созданных для выполнения задач,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ставленных перед администрацией Кировского муниципального района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запретов, ограничений и требований, 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муниципального района,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также сведений о доходах,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 учреждений,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учреждений,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14 рабочих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дня исте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чения срока, установленного для их подачи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14 рабочих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дня исте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чения срока, установленного для их подачи</w:t>
            </w:r>
          </w:p>
        </w:tc>
        <w:tc>
          <w:tcPr>
            <w:tcW w:w="618" w:type="pct"/>
            <w:vMerge w:val="restar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B55">
              <w:rPr>
                <w:rFonts w:ascii="Times New Roman" w:hAnsi="Times New Roman"/>
                <w:sz w:val="24"/>
                <w:szCs w:val="24"/>
              </w:rPr>
              <w:t>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интересов граждан, общества и государства от коррупции, повышение удовлетворенности населения деятельностью в сфере противодействия коррупции</w:t>
            </w: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в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порядке, предусмотренном действующим законодательством проверок соблюдения ограничений, запретов, требований, установленных в целях противодействия коррупции, лицами, </w:t>
            </w:r>
            <w:r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 учреждений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района.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ации, являющейся основанием для проведения проверок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ации, являющейся основанием для проведения проверок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порядке, предусмотренном действующим законодательством, 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должности, в отношении которых предусмотрена обязанность представления сведений о своих расходах, о расходах своих супруги (супруга) и несовершеннолетних детей, их доходам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информа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ции, являющейся основанием для осуществления контроля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информа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ции, являющейся основанием для осуществления контроля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актуализацию сведений, содержащихся в личных делах лиц, замещающих 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района.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Реализация мер, направленных на выявление случаев возникновения конфликта интересов, одной из сторон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которого являются лица, замещающие должности, в отношении которых предусматривает обязанность принимать меры по предотвращению и урегулированию конфликта интересов, в том числе с использованием открытых источников информации, обращений граждан и организаций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Обеспечение рассмотрения соответствующими комиссиями по соблюдению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муниципальных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служащих и урегулированию конфликта интересов вопросов, отнесенных к их компетенции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ные законодательством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ные законодательством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1442" w:type="pct"/>
            <w:hideMark/>
          </w:tcPr>
          <w:p w:rsidR="006032D8" w:rsidRPr="006E0272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272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поступающих на муниципальную службу  Приморского края в пределах полномочий, установленных законодательством о противодействии коррупции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 департамент труда и социального развития Приморского края</w:t>
            </w:r>
            <w:r w:rsidRPr="003A6B03">
              <w:rPr>
                <w:rFonts w:ascii="Times New Roman" w:hAnsi="Times New Roman"/>
                <w:sz w:val="24"/>
                <w:szCs w:val="24"/>
              </w:rPr>
              <w:br/>
              <w:t xml:space="preserve">департамент транспорта и дорожного хозяйства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края</w:t>
            </w:r>
            <w:r w:rsidRPr="003A6B03">
              <w:rPr>
                <w:rFonts w:ascii="Times New Roman" w:hAnsi="Times New Roman"/>
                <w:sz w:val="24"/>
                <w:szCs w:val="24"/>
              </w:rPr>
              <w:br/>
              <w:t>департамент по тарифам Приморского края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информа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ции, являющейся основанием для проведения проверок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ции, являющейся основанием для проведения проверок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1" w:type="pct"/>
            <w:gridSpan w:val="8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Антикоррупционное обучение и антикоррупционная пропаганда, вовлечение кадровых, материальных, информационных и иных ресурсов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 муниципальных служащих  администрации Кировского муниципального района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18" w:type="pct"/>
            <w:vMerge w:val="restar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B5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интересов граждан, общества и государства от коррупции, повышение удовлетворенности населения деятельностью в сфере </w:t>
            </w:r>
            <w:r w:rsidRPr="00564B5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обуч</w:t>
            </w:r>
            <w:r>
              <w:rPr>
                <w:rFonts w:ascii="Times New Roman" w:hAnsi="Times New Roman"/>
                <w:sz w:val="24"/>
                <w:szCs w:val="24"/>
              </w:rPr>
              <w:t>ения  муниципальных служащих администрации Кировского муниципального района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, впервые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ступивших на муниципальную службу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и проведение с лиц</w:t>
            </w:r>
            <w:r>
              <w:rPr>
                <w:rFonts w:ascii="Times New Roman" w:hAnsi="Times New Roman"/>
                <w:sz w:val="24"/>
                <w:szCs w:val="24"/>
              </w:rPr>
              <w:t>ами, замещающими муниципальные  должности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служащими, руководителями муниципальных  учреждений,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краткосрочных семинаров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и 4-й квартал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и 4-й квартал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Участие в краткосрочных семинарах по вопросам профилактики коррупции, проводимых с лицами, замещающими муниципальные должности, муниципальными служащими, в должностные обязанности которых входит профилактика коррупционных и иных правонарушений, по вопросам противодействия коррупции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ежегодно, не реже 1 раза в полугодие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ежегодно, не реже 1 раза в полугодие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зготовление полиграфической продукции антикоррупционного содержания для распространения в органах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муниципального района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1" w:type="pct"/>
            <w:gridSpan w:val="8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обеспечения муниципальных 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нужд и в сфере закупок товаров, работ, услуг отдельными видами юридических лиц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муниципальных нужд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торговли и предпринимательства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18" w:type="pct"/>
            <w:vMerge w:val="restar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B5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интересов граждан, </w:t>
            </w:r>
            <w:r w:rsidRPr="00564B55">
              <w:rPr>
                <w:rFonts w:ascii="Times New Roman" w:hAnsi="Times New Roman"/>
                <w:sz w:val="24"/>
                <w:szCs w:val="24"/>
              </w:rPr>
              <w:lastRenderedPageBreak/>
              <w:t>общества и государства от коррупции, повышение удовлетворенности населения деятельностью в сфере противодействия коррупции</w:t>
            </w: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Реализация мер, направленных на недопущение привлечения к исполнению государственных контрактов поставщиков (подрядчиков, исполнителей), а также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торговли и предпринимательства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618" w:type="pct"/>
            <w:vMerge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1" w:type="pct"/>
            <w:gridSpan w:val="8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открытости, доступности дл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населения деятельности администрации Кировского муниципального района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, укрепление их связи с гражданским обществом</w:t>
            </w: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Наполнение раздела "Противоде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йствие коррупции" на официальном  сайте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в соответствии с требованиями законодательства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не позднее 10 дней после наступления оснований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не позднее 10 дней после наступления оснований</w:t>
            </w:r>
          </w:p>
        </w:tc>
        <w:tc>
          <w:tcPr>
            <w:tcW w:w="618" w:type="pct"/>
            <w:vMerge w:val="restar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B5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мер, направленных на противодействие коррупции в администрации Кировского муниципального района, позволяющих обеспечить защиту прав и законных интересов граждан, общества и государства от коррупции, повышение </w:t>
            </w:r>
            <w:r w:rsidRPr="00564B55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удовлетворенности населения деятельностью в сфере противодействия коррупции</w:t>
            </w: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Функционирование "телефонов доверия", "горячих линий", "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>", других информационных каналов, позволяющих гражданам сообщать о ставших им известными фактах коррупции, причинах условиях, способствующих их совершению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непрерывно в период реализации программы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непрерывно в период реализации программы 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Размещение отчета о реализации программы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 коррупции в администрации Кировского муниципального района 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Размещение публикаций в СМИ о реализации мер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Кировского муниципального района 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623" w:type="pct"/>
            <w:gridSpan w:val="2"/>
            <w:hideMark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1 раза в полугодие</w:t>
            </w:r>
          </w:p>
        </w:tc>
        <w:tc>
          <w:tcPr>
            <w:tcW w:w="620" w:type="pct"/>
          </w:tcPr>
          <w:p w:rsidR="006032D8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1 раза в полугодие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180253" w:rsidTr="00D173A4">
        <w:trPr>
          <w:trHeight w:val="170"/>
        </w:trPr>
        <w:tc>
          <w:tcPr>
            <w:tcW w:w="299" w:type="pct"/>
            <w:hideMark/>
          </w:tcPr>
          <w:p w:rsidR="006032D8" w:rsidRPr="006E0272" w:rsidRDefault="006032D8" w:rsidP="00D17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442" w:type="pct"/>
            <w:hideMark/>
          </w:tcPr>
          <w:p w:rsidR="006032D8" w:rsidRPr="003A6B03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</w:t>
            </w:r>
            <w:r>
              <w:rPr>
                <w:rFonts w:ascii="Times New Roman" w:hAnsi="Times New Roman"/>
                <w:sz w:val="24"/>
                <w:szCs w:val="24"/>
              </w:rPr>
              <w:t>нтикоррупционного содержания, в том числе на официальном сайте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676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623" w:type="pct"/>
            <w:gridSpan w:val="2"/>
            <w:hideMark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постоянно, в период реализации программы</w:t>
            </w:r>
          </w:p>
        </w:tc>
        <w:tc>
          <w:tcPr>
            <w:tcW w:w="620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постоянно, в период реализации программы</w:t>
            </w:r>
          </w:p>
        </w:tc>
        <w:tc>
          <w:tcPr>
            <w:tcW w:w="618" w:type="pct"/>
            <w:vMerge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6032D8" w:rsidRPr="003A6B03" w:rsidRDefault="006032D8" w:rsidP="00D1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2D8" w:rsidRDefault="006032D8" w:rsidP="00603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32D8" w:rsidSect="00D173A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032D8" w:rsidTr="00D173A4">
        <w:tc>
          <w:tcPr>
            <w:tcW w:w="5068" w:type="dxa"/>
          </w:tcPr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ротиводейс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коррупции в администрации 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- 2020 год</w:t>
            </w:r>
            <w:r>
              <w:rPr>
                <w:rFonts w:ascii="Times New Roman" w:hAnsi="Times New Roman"/>
                <w:sz w:val="24"/>
                <w:szCs w:val="24"/>
              </w:rPr>
              <w:t>ы»,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утвержденной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D8" w:rsidRDefault="006032D8" w:rsidP="00D1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     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D8" w:rsidRDefault="006032D8" w:rsidP="00D173A4">
            <w:pPr>
              <w:tabs>
                <w:tab w:val="left" w:pos="5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______________ 2018г</w:t>
            </w:r>
          </w:p>
          <w:p w:rsidR="006032D8" w:rsidRDefault="006032D8" w:rsidP="00D173A4">
            <w:pPr>
              <w:tabs>
                <w:tab w:val="left" w:pos="5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</w:tr>
    </w:tbl>
    <w:p w:rsidR="006032D8" w:rsidRDefault="006032D8" w:rsidP="006032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2D8" w:rsidRPr="003E3753" w:rsidRDefault="006032D8" w:rsidP="0060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753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6032D8" w:rsidRPr="003E3753" w:rsidRDefault="006032D8" w:rsidP="0060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753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6032D8" w:rsidRPr="003E3753" w:rsidRDefault="006032D8" w:rsidP="0060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753">
        <w:rPr>
          <w:rFonts w:ascii="Times New Roman" w:hAnsi="Times New Roman"/>
          <w:b/>
          <w:sz w:val="28"/>
          <w:szCs w:val="28"/>
        </w:rPr>
        <w:t>«Противодействия коррупции в администрации Кировского муниципального района на 2019-2020 годы» (тыс. руб.) за счет средств районного бюджета</w:t>
      </w:r>
    </w:p>
    <w:p w:rsidR="006032D8" w:rsidRPr="003E3753" w:rsidRDefault="006032D8" w:rsidP="006032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5003"/>
        <w:gridCol w:w="44"/>
        <w:gridCol w:w="1940"/>
        <w:gridCol w:w="1138"/>
        <w:gridCol w:w="1039"/>
        <w:gridCol w:w="9"/>
      </w:tblGrid>
      <w:tr w:rsidR="006032D8" w:rsidRPr="003E3753" w:rsidTr="00D173A4">
        <w:trPr>
          <w:gridAfter w:val="1"/>
          <w:wAfter w:w="9" w:type="dxa"/>
          <w:trHeight w:val="492"/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отдельного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исполнитель,</w:t>
            </w:r>
          </w:p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D8" w:rsidRPr="003E3753" w:rsidRDefault="006032D8" w:rsidP="00D173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3753">
              <w:rPr>
                <w:rFonts w:ascii="Times New Roman" w:hAnsi="Times New Roman"/>
                <w:b/>
              </w:rPr>
              <w:t>Расходы  по годам реализации Программы</w:t>
            </w:r>
            <w:r>
              <w:rPr>
                <w:rFonts w:ascii="Times New Roman" w:hAnsi="Times New Roman"/>
                <w:b/>
              </w:rPr>
              <w:t xml:space="preserve"> (тыс. руб.)</w:t>
            </w:r>
          </w:p>
        </w:tc>
      </w:tr>
      <w:tr w:rsidR="006032D8" w:rsidRPr="0056567E" w:rsidTr="00D173A4">
        <w:trPr>
          <w:trHeight w:val="309"/>
          <w:tblCellSpacing w:w="5" w:type="nil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2D8" w:rsidRPr="003E3753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032D8" w:rsidRPr="0056567E" w:rsidTr="00D173A4">
        <w:trPr>
          <w:trHeight w:val="148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D8" w:rsidRPr="00A33497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D8" w:rsidRPr="00A33497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D8" w:rsidRPr="00A33497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D8" w:rsidRPr="00A33497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D8" w:rsidRPr="00A33497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4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32D8" w:rsidRPr="0056567E" w:rsidTr="00D173A4">
        <w:trPr>
          <w:trHeight w:val="508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53">
              <w:rPr>
                <w:rFonts w:ascii="Times New Roman" w:hAnsi="Times New Roman"/>
                <w:b/>
                <w:sz w:val="28"/>
                <w:szCs w:val="28"/>
              </w:rPr>
              <w:t xml:space="preserve">«Противодействия коррупции в администрации Кировского муниципального района на 2019-2020 годы» </w:t>
            </w:r>
          </w:p>
        </w:tc>
      </w:tr>
      <w:tr w:rsidR="006032D8" w:rsidRPr="0056567E" w:rsidTr="00D173A4">
        <w:trPr>
          <w:trHeight w:val="33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A33497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49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032D8" w:rsidRPr="0056567E" w:rsidTr="00D173A4">
        <w:trPr>
          <w:trHeight w:val="269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A33497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D8" w:rsidRPr="0056567E" w:rsidTr="00D173A4">
        <w:trPr>
          <w:trHeight w:val="585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организационных и правовых основ противодействия коррупции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Корректировка либо принятие новых ведомственных планов противодействия коррупции в связи с утверждением Национального плана противодействия коррупции на 2018 – 2020 годы и настоящей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Обеспечение разработки и утверждения ежегодных планов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Комиссии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Рассмотрение ежегодных отчетов о выполнении Программы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коррупции в администрации Кировского муниципального района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на 2018 – 2020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428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 и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подведомственных им организаций в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сфере профилактики коррупционных правонарушений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3A6B0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области противодействия коррупции, в том числе рассмотрение вопросов правоприменительной 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экспертизы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Кировского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правовой экспертизы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и реализация механи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соблюдением 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лицами, замещающими муниципальные должности, муниципальными служащими, руково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дителями муниципальных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учреждений, созданных для выполнения задач,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ставленных перед администрацией Кировского муниципального района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муниципального района,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также сведений о доходах,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 учреждений,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учреждений,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в отношении которых предусмотрена обязанность представления сведений о своих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порядке, предусмотренном действующим законодательством проверок соблюдения ограничений, запретов, требований, установленных в целях противодействия коррупции, лицами, </w:t>
            </w:r>
            <w:r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 учреждений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 порядке, предусмотренном действующим законодательством, 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должности, в отношении которых предусмотрена обязанность представления сведений о своих расходах, о расходах своих супруги (супруга) и несовершеннолетних детей, их доходам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актуализацию сведений, содержащихся в личных делах лиц, замещающих  должности, в отношении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 имущественного характера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одителей 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Кировского муниципального района.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Реализация мер, направленных на выявление случаев возникновения конфликта интересов, одной из сторон которого являются лица, замещающие должности, в отношении которых предусматривает обязанность принимать меры по предотвращению и урегулированию конфликта интересов, в том числе с использованием открытых источников информации, обращений граждан и организаций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Обеспечение рассмотрения соответствующими комиссиями по соблюдению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служебному поведению муниципальных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служащих и урегулированию конфликта интересов вопросов, отнесенных к их компетенции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272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поступающих на муниципальную службу  Приморского края в пределах полномочий, установленных законодательством о противодействии коррупции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A72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 департамент труда и социального развития Приморского края</w:t>
            </w:r>
            <w:r w:rsidRPr="003A6B03">
              <w:rPr>
                <w:rFonts w:ascii="Times New Roman" w:hAnsi="Times New Roman"/>
                <w:sz w:val="24"/>
                <w:szCs w:val="24"/>
              </w:rPr>
              <w:br/>
              <w:t>департамент транспорта и дорожного хозяйства Приморского края</w:t>
            </w:r>
            <w:r w:rsidRPr="003A6B03">
              <w:rPr>
                <w:rFonts w:ascii="Times New Roman" w:hAnsi="Times New Roman"/>
                <w:sz w:val="24"/>
                <w:szCs w:val="24"/>
              </w:rPr>
              <w:br/>
              <w:t>департамент по тарифам Приморского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57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Антикоррупционное обучение и антикоррупционная пропаганда, вовлечение кадровых, материальных, информационных и иных ресурсов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 муниципальных служащих  администрации Кировского муниципального района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720475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49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7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обуч</w:t>
            </w:r>
            <w:r>
              <w:rPr>
                <w:rFonts w:ascii="Times New Roman" w:hAnsi="Times New Roman"/>
                <w:sz w:val="24"/>
                <w:szCs w:val="24"/>
              </w:rPr>
              <w:t>ения  муниципальных служащих администрации Кировского муниципального района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>, впервые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ступивших на муниципальную службу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Организация и проведение с лиц</w:t>
            </w:r>
            <w:r>
              <w:rPr>
                <w:rFonts w:ascii="Times New Roman" w:hAnsi="Times New Roman"/>
                <w:sz w:val="24"/>
                <w:szCs w:val="24"/>
              </w:rPr>
              <w:t>ами, замещающими муниципальные  должности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служащими, руководителями муниципальных  учреждений,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краткосрочных семинаров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Участие в краткосрочных семинарах по вопросам профилактики коррупции, проводимых с лицами, замещающими муниципальные должности, муниципальными служащими, в должностные обязанности которых входит профилактика коррупционных и иных правонарушений, по вопросам противодействия коррупции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зготовление полиграфической продукции антикоррупционного содержания для распространения в органах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муниципального района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720475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49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032D8" w:rsidRPr="0056567E" w:rsidTr="00D173A4">
        <w:trPr>
          <w:trHeight w:val="800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обеспечения муниципальных 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нужд и в сфере закупок товаров, работ, услуг отдельными видами юридических лиц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обеспечения муниципальных нужд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торговли и предпринимательства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Реализация мер, направленных на недопущение привлечения к исполнению государственных контрактов поставщиков (подрядчиков, исполнителей), а также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торговли и предпринимательства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890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открытости, доступности дл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населения деятельности администрации Кировского муниципального района</w:t>
            </w:r>
            <w:r w:rsidRPr="003A6B03">
              <w:rPr>
                <w:rFonts w:ascii="Times New Roman" w:hAnsi="Times New Roman"/>
                <w:b/>
                <w:bCs/>
                <w:sz w:val="24"/>
                <w:szCs w:val="24"/>
              </w:rPr>
              <w:t>, укрепление их связи с гражданским обществом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Наполнение раздела "Противоде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йствие коррупции" на официальном  сайте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в соответствии с требованиями законодательства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Функционирование "телефонов доверия", "горячих линий", "</w:t>
            </w:r>
            <w:proofErr w:type="gramStart"/>
            <w:r w:rsidRPr="003A6B03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3A6B03">
              <w:rPr>
                <w:rFonts w:ascii="Times New Roman" w:hAnsi="Times New Roman"/>
                <w:sz w:val="24"/>
                <w:szCs w:val="24"/>
              </w:rPr>
              <w:t xml:space="preserve">", других информационных каналов, позволяющих гражданам сообщать о ставших </w:t>
            </w:r>
            <w:r w:rsidRPr="003A6B03">
              <w:rPr>
                <w:rFonts w:ascii="Times New Roman" w:hAnsi="Times New Roman"/>
                <w:sz w:val="24"/>
                <w:szCs w:val="24"/>
              </w:rPr>
              <w:lastRenderedPageBreak/>
              <w:t>им известными фактах коррупции, причинах условиях, способствующих их совершению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Размещение отчета о реализации программы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 коррупции в администрации Кировского муниципального района 2019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– 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 xml:space="preserve">Размещение публикаций в СМИ о реализации мер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Кировского муниципального района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720475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349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032D8" w:rsidRPr="0056567E" w:rsidTr="00D173A4">
        <w:trPr>
          <w:trHeight w:val="1147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6E0272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272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03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</w:t>
            </w:r>
            <w:r>
              <w:rPr>
                <w:rFonts w:ascii="Times New Roman" w:hAnsi="Times New Roman"/>
                <w:sz w:val="24"/>
                <w:szCs w:val="24"/>
              </w:rPr>
              <w:t>нтикоррупционного содержания, в том числе на официальном сайте</w:t>
            </w:r>
            <w:r w:rsidRPr="003A6B0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3A6B03" w:rsidRDefault="006032D8" w:rsidP="00D1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56567E" w:rsidRDefault="006032D8" w:rsidP="00D1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32D8" w:rsidRDefault="006032D8" w:rsidP="006032D8">
      <w:pPr>
        <w:widowControl w:val="0"/>
        <w:suppressAutoHyphens/>
        <w:autoSpaceDE w:val="0"/>
        <w:autoSpaceDN w:val="0"/>
        <w:spacing w:after="0"/>
        <w:ind w:firstLine="498"/>
        <w:jc w:val="both"/>
        <w:rPr>
          <w:rFonts w:ascii="Times New Roman" w:hAnsi="Times New Roman"/>
          <w:sz w:val="26"/>
          <w:szCs w:val="26"/>
        </w:rPr>
      </w:pPr>
    </w:p>
    <w:p w:rsidR="006032D8" w:rsidRDefault="006032D8"/>
    <w:sectPr w:rsidR="006032D8" w:rsidSect="00D173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78" w:rsidRDefault="00510878" w:rsidP="00433DBA">
      <w:pPr>
        <w:spacing w:after="0" w:line="240" w:lineRule="auto"/>
      </w:pPr>
      <w:r>
        <w:separator/>
      </w:r>
    </w:p>
  </w:endnote>
  <w:endnote w:type="continuationSeparator" w:id="0">
    <w:p w:rsidR="00510878" w:rsidRDefault="00510878" w:rsidP="0043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A" w:rsidRDefault="00A729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03250"/>
      <w:docPartObj>
        <w:docPartGallery w:val="Page Numbers (Bottom of Page)"/>
        <w:docPartUnique/>
      </w:docPartObj>
    </w:sdtPr>
    <w:sdtContent>
      <w:p w:rsidR="00A729CA" w:rsidRDefault="00A729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729CA" w:rsidRDefault="00A729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A" w:rsidRDefault="00A729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78" w:rsidRDefault="00510878" w:rsidP="00433DBA">
      <w:pPr>
        <w:spacing w:after="0" w:line="240" w:lineRule="auto"/>
      </w:pPr>
      <w:r>
        <w:separator/>
      </w:r>
    </w:p>
  </w:footnote>
  <w:footnote w:type="continuationSeparator" w:id="0">
    <w:p w:rsidR="00510878" w:rsidRDefault="00510878" w:rsidP="0043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A" w:rsidRDefault="00A729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A" w:rsidRDefault="00A729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A" w:rsidRDefault="00A729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5C"/>
    <w:multiLevelType w:val="hybridMultilevel"/>
    <w:tmpl w:val="DCD6BD56"/>
    <w:lvl w:ilvl="0" w:tplc="3342C0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87943"/>
    <w:multiLevelType w:val="hybridMultilevel"/>
    <w:tmpl w:val="E034ADB8"/>
    <w:lvl w:ilvl="0" w:tplc="6642722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8"/>
    <w:rsid w:val="000B57BC"/>
    <w:rsid w:val="000B72A9"/>
    <w:rsid w:val="000E5E4A"/>
    <w:rsid w:val="000F4404"/>
    <w:rsid w:val="001B3984"/>
    <w:rsid w:val="00433DBA"/>
    <w:rsid w:val="00510878"/>
    <w:rsid w:val="005C3CEB"/>
    <w:rsid w:val="006032D8"/>
    <w:rsid w:val="0068242A"/>
    <w:rsid w:val="00783F83"/>
    <w:rsid w:val="007E423D"/>
    <w:rsid w:val="0095527D"/>
    <w:rsid w:val="00A729CA"/>
    <w:rsid w:val="00B442D5"/>
    <w:rsid w:val="00C95461"/>
    <w:rsid w:val="00D173A4"/>
    <w:rsid w:val="00E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2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D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2D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32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DBA"/>
  </w:style>
  <w:style w:type="paragraph" w:styleId="aa">
    <w:name w:val="footer"/>
    <w:basedOn w:val="a"/>
    <w:link w:val="ab"/>
    <w:uiPriority w:val="99"/>
    <w:unhideWhenUsed/>
    <w:rsid w:val="0043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32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2D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2D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32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DBA"/>
  </w:style>
  <w:style w:type="paragraph" w:styleId="aa">
    <w:name w:val="footer"/>
    <w:basedOn w:val="a"/>
    <w:link w:val="ab"/>
    <w:uiPriority w:val="99"/>
    <w:unhideWhenUsed/>
    <w:rsid w:val="0043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6333</Words>
  <Characters>36100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6</cp:revision>
  <cp:lastPrinted>2018-12-09T23:23:00Z</cp:lastPrinted>
  <dcterms:created xsi:type="dcterms:W3CDTF">2018-12-10T02:08:00Z</dcterms:created>
  <dcterms:modified xsi:type="dcterms:W3CDTF">2018-12-14T05:26:00Z</dcterms:modified>
</cp:coreProperties>
</file>