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A" w:rsidRDefault="00D31BFB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5EAA592D" wp14:editId="482C0B9B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DE1EF92" wp14:editId="1FB08809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5F8C7F" wp14:editId="369DCC10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30609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30609">
                      <w:pPr>
                        <w:widowControl w:val="0"/>
                        <w:ind w:firstLine="28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  <w:proofErr w:type="spellEnd"/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435E24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15EABC" wp14:editId="2ADB1147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8D" w:rsidRDefault="000743B4" w:rsidP="000B748D">
                            <w:pPr>
                              <w:widowControl w:val="0"/>
                              <w:spacing w:after="100" w:line="33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="00136B22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2016 год</w:t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 исчисляется 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>исходя из инвентаризационной стоимости объектов, с учетом коэффициента-дефлятора, умноженно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>го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 xml:space="preserve"> на  ставку  налога, установленную нормативно-правовыми актами органов муниципальных образований</w:t>
                            </w:r>
                            <w:r w:rsidR="000B748D"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B748D" w:rsidRDefault="000B748D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60C1A" w:rsidRPr="004F160A" w:rsidRDefault="004F160A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360C1A"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0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0B748D" w:rsidRDefault="000743B4" w:rsidP="000B748D">
                      <w:pPr>
                        <w:widowControl w:val="0"/>
                        <w:spacing w:after="100" w:line="335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="00136B22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2016 год</w:t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 исчисляется 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>исходя из инвентаризационной стоимости объектов, с учетом коэффициента-дефлятора, умноженно</w:t>
                      </w:r>
                      <w:r w:rsidRPr="00435E24">
                        <w:rPr>
                          <w:rFonts w:ascii="Arial" w:hAnsi="Arial" w:cs="Arial"/>
                        </w:rPr>
                        <w:t>го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 xml:space="preserve"> на  ставку  налога, установленную нормативно-правовыми актами органов муниципальных образований</w:t>
                      </w:r>
                      <w:r w:rsidR="000B748D"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B748D" w:rsidRDefault="000B748D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360C1A" w:rsidRPr="004F160A" w:rsidRDefault="004F160A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ПОРЯДОК РАСЧЕТА</w:t>
                      </w:r>
                      <w:r w:rsidR="00360C1A"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156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C3DEC" wp14:editId="676043CD">
                <wp:simplePos x="0" y="0"/>
                <wp:positionH relativeFrom="column">
                  <wp:posOffset>-253365</wp:posOffset>
                </wp:positionH>
                <wp:positionV relativeFrom="paragraph">
                  <wp:posOffset>-537211</wp:posOffset>
                </wp:positionV>
                <wp:extent cx="4490085" cy="418465"/>
                <wp:effectExtent l="0" t="0" r="5715" b="63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F44F86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-19.95pt;margin-top:-42.3pt;width:353.55pt;height:3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    <v:textbox inset="2.88pt,2.88pt,2.88pt,2.88pt">
                  <w:txbxContent>
                    <w:p w:rsidR="00360C1A" w:rsidRPr="00F44F86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081156" w:rsidRDefault="00081156"/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0B748D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68326E" wp14:editId="65634D99">
                <wp:simplePos x="0" y="0"/>
                <wp:positionH relativeFrom="column">
                  <wp:posOffset>-251460</wp:posOffset>
                </wp:positionH>
                <wp:positionV relativeFrom="paragraph">
                  <wp:posOffset>45720</wp:posOffset>
                </wp:positionV>
                <wp:extent cx="4539615" cy="541020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DF" w:rsidRDefault="009C19D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0743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НАЛОГА</w:t>
                            </w:r>
                          </w:p>
                          <w:p w:rsidR="00552E25" w:rsidRPr="00362E57" w:rsidRDefault="00552E25" w:rsidP="00362E5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Расчет налога</w:t>
                            </w:r>
                            <w:r w:rsidR="00362E57"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 б</w:t>
                            </w: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удет произведен в соответствии с главой 32 «Налог на имущество физических лиц» Налогового Кодекса  Российской Федерации</w:t>
                            </w: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Ind w:w="-4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034C44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552E25" w:rsidRDefault="00552E25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  <w:proofErr w:type="spellEnd"/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34C44" w:rsidRPr="00E458DB" w:rsidRDefault="00034C44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362E57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0743B4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E57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2B3BB3" w:rsidRPr="00362E57" w:rsidRDefault="000743B4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>1, 329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B3BB3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Утвержден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Приказом Минэкономразвития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proofErr w:type="gramEnd"/>
                          </w:p>
                          <w:p w:rsidR="00AF78B8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20.10.2015 № 772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362E57" w:rsidRDefault="00362E57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B3BB3" w:rsidRDefault="005123E6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 w:rsidR="007A3F4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Для </w:t>
                            </w:r>
                            <w:r w:rsidR="00601C30" w:rsidRPr="00601C30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>Кировского городского поселения</w:t>
                            </w:r>
                            <w:r w:rsidR="00601C30" w:rsidRPr="00601C30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для объектов недвижимого имущества с суммарной инвентаризационной стоимостью до 300 000 руб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лей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ставка налога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10 %</w:t>
                            </w:r>
                            <w:r w:rsid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:rsidR="00E63A3A" w:rsidRPr="00E63A3A" w:rsidRDefault="002B3BB3" w:rsidP="00E63A3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line="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</w:pPr>
                            <w:r w:rsidRP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С суммарной инвент</w:t>
                            </w:r>
                            <w:r w:rsidR="0067791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аризационной стоимостью свыше</w:t>
                            </w:r>
                            <w:r w:rsidR="00E63A3A" w:rsidRPr="00E63A3A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300 000 рублей до 1 000 000  рублей </w:t>
                            </w:r>
                            <w:r w:rsid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ставка налога – 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  <w:t>0,3 %.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 </w:t>
                            </w:r>
                          </w:p>
                          <w:p w:rsidR="002C2977" w:rsidRDefault="00136B22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Например, 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если 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      </w:r>
                            <w:r w:rsidR="002C2977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211 рублей</w:t>
                            </w:r>
                          </w:p>
                          <w:p w:rsidR="00AF78B8" w:rsidRDefault="00AF78B8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329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2C2977" w:rsidRDefault="002C2977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AF78B8" w:rsidRDefault="00AF78B8" w:rsidP="00F87E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ОБРАЩАЕМ ВНИМАНИЕ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  <w:p w:rsidR="00AF78B8" w:rsidRDefault="00F87E73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умма налога увеличит</w:t>
                            </w:r>
                            <w:r w:rsidR="00FB2F8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ся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1E061A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</w:t>
                            </w:r>
                            <w:r w:rsidR="001E061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связи с увеличением коэффициента-дефлятора</w:t>
                            </w:r>
                            <w:r w:rsidR="00AF78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в 2016 году </w:t>
                            </w:r>
                          </w:p>
                          <w:p w:rsidR="00AF78B8" w:rsidRPr="00136B22" w:rsidRDefault="00AF78B8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2" type="#_x0000_t202" style="position:absolute;margin-left:-19.8pt;margin-top:3.6pt;width:357.45pt;height:4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    <v:textbox inset="2.88pt,2.88pt,2.88pt,2.88pt">
                  <w:txbxContent>
                    <w:p w:rsidR="009C19DF" w:rsidRDefault="009C19D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</w:t>
                      </w:r>
                      <w:r w:rsidR="000743B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НАЛОГА</w:t>
                      </w:r>
                    </w:p>
                    <w:p w:rsidR="00552E25" w:rsidRPr="00362E57" w:rsidRDefault="00552E25" w:rsidP="00362E5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Расчет налога</w:t>
                      </w:r>
                      <w:r w:rsidR="00362E57"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 б</w:t>
                      </w: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удет произведен в соответствии с главой 32 «Налог на имущество физических лиц» Налогового Кодекса  Российской Федерации</w:t>
                      </w:r>
                    </w:p>
                    <w:tbl>
                      <w:tblPr>
                        <w:tblStyle w:val="af0"/>
                        <w:tblW w:w="6891" w:type="dxa"/>
                        <w:jc w:val="right"/>
                        <w:tblInd w:w="-4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034C44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552E25" w:rsidRDefault="00552E25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  <w:proofErr w:type="spellEnd"/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34C44" w:rsidRPr="00E458DB" w:rsidRDefault="00034C44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362E57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0743B4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2E57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 xml:space="preserve">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2B3BB3" w:rsidRPr="00362E57" w:rsidRDefault="000743B4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>1, 329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B3BB3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Утвержден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Приказом Минэкономразвития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 xml:space="preserve">от </w:t>
                      </w:r>
                      <w:proofErr w:type="gramEnd"/>
                    </w:p>
                    <w:p w:rsidR="00AF78B8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                 </w:t>
                      </w:r>
                      <w:proofErr w:type="gramStart"/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20.10.2015 № 772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362E57" w:rsidRDefault="00362E57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B3BB3" w:rsidRDefault="005123E6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 w:rsidR="007A3F4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Для </w:t>
                      </w:r>
                      <w:r w:rsidR="00601C30" w:rsidRPr="00601C30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>Кировского городского поселения</w:t>
                      </w:r>
                      <w:r w:rsidR="00601C30" w:rsidRPr="00601C30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>для объектов недвижимого имущества с суммарной инвентаризационной стоимостью до 300 000 руб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>лей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ставка налога 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- 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10 %</w:t>
                      </w:r>
                      <w:r w:rsid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:rsidR="00E63A3A" w:rsidRPr="00E63A3A" w:rsidRDefault="002B3BB3" w:rsidP="00E63A3A">
                      <w:pPr>
                        <w:widowControl w:val="0"/>
                        <w:tabs>
                          <w:tab w:val="left" w:pos="709"/>
                        </w:tabs>
                        <w:spacing w:line="0" w:lineRule="atLeast"/>
                        <w:jc w:val="both"/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</w:pPr>
                      <w:r w:rsidRPr="002B3BB3">
                        <w:rPr>
                          <w:rFonts w:ascii="Arial" w:hAnsi="Arial" w:cs="Arial"/>
                          <w:bCs/>
                          <w:szCs w:val="24"/>
                        </w:rPr>
                        <w:t>С суммарной инвент</w:t>
                      </w:r>
                      <w:r w:rsidR="00677913">
                        <w:rPr>
                          <w:rFonts w:ascii="Arial" w:hAnsi="Arial" w:cs="Arial"/>
                          <w:bCs/>
                          <w:szCs w:val="24"/>
                        </w:rPr>
                        <w:t>аризационной стоимостью свыше</w:t>
                      </w:r>
                      <w:r w:rsidR="00E63A3A" w:rsidRPr="00E63A3A">
                        <w:rPr>
                          <w:rFonts w:ascii="Times New Roman" w:eastAsia="Times New Roman" w:hAnsi="Times New Roman"/>
                          <w:bCs/>
                          <w:i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E63A3A" w:rsidRP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300 000 рублей до 1 000 000  рублей </w:t>
                      </w:r>
                      <w:r w:rsid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ставка налога – </w:t>
                      </w:r>
                      <w:r w:rsidR="00E63A3A" w:rsidRPr="00E63A3A"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  <w:t>0,3 %.</w:t>
                      </w:r>
                      <w:r w:rsidR="00E63A3A" w:rsidRP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 </w:t>
                      </w:r>
                    </w:p>
                    <w:p w:rsidR="002C2977" w:rsidRDefault="00136B22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Например, 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 xml:space="preserve">если 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</w:r>
                      <w:r w:rsidR="002C2977" w:rsidRPr="00AF78B8">
                        <w:rPr>
                          <w:rFonts w:ascii="Arial" w:hAnsi="Arial" w:cs="Arial"/>
                          <w:bCs/>
                          <w:i/>
                        </w:rPr>
                        <w:t>211 рублей</w:t>
                      </w:r>
                    </w:p>
                    <w:p w:rsidR="00AF78B8" w:rsidRDefault="00AF78B8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 w:rsidR="006F139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329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10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2C2977" w:rsidRDefault="002C2977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AF78B8" w:rsidRDefault="00AF78B8" w:rsidP="00F87E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ОБРАЩАЕМ ВНИМАНИЕ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</w:p>
                    <w:p w:rsidR="00AF78B8" w:rsidRDefault="00F87E73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умма налога увеличит</w:t>
                      </w:r>
                      <w:r w:rsidR="00FB2F8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ся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1E061A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</w:t>
                      </w:r>
                      <w:r w:rsidR="001E061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связи с увеличением коэффициента-дефлятора</w:t>
                      </w:r>
                      <w:r w:rsidR="00AF78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в 2016 году </w:t>
                      </w:r>
                    </w:p>
                    <w:p w:rsidR="00AF78B8" w:rsidRPr="00136B22" w:rsidRDefault="00AF78B8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A8AB207" wp14:editId="05DC6BAC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33FAC0" wp14:editId="2E2776D6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06B67A" wp14:editId="0B932BC8">
                <wp:simplePos x="0" y="0"/>
                <wp:positionH relativeFrom="column">
                  <wp:posOffset>-329565</wp:posOffset>
                </wp:positionH>
                <wp:positionV relativeFrom="paragraph">
                  <wp:posOffset>-241936</wp:posOffset>
                </wp:positionV>
                <wp:extent cx="2581275" cy="162877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BA35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-25.95pt;margin-top:-19.05pt;width:203.25pt;height:128.2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    <v:textbox inset="2.88pt,2.88pt,2.88pt,2.88pt">
                  <w:txbxContent>
                    <w:p w:rsidR="00360C1A" w:rsidRPr="00AF78B8" w:rsidRDefault="00AF78B8" w:rsidP="00BA35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359BF" wp14:editId="2396AFCF">
                <wp:simplePos x="0" y="0"/>
                <wp:positionH relativeFrom="column">
                  <wp:posOffset>-415290</wp:posOffset>
                </wp:positionH>
                <wp:positionV relativeFrom="paragraph">
                  <wp:posOffset>-527684</wp:posOffset>
                </wp:positionV>
                <wp:extent cx="4529455" cy="342900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-32.7pt;margin-top:-41.55pt;width:356.6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400F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8F9E6D" wp14:editId="57BD86F9">
                <wp:simplePos x="0" y="0"/>
                <wp:positionH relativeFrom="column">
                  <wp:posOffset>-415290</wp:posOffset>
                </wp:positionH>
                <wp:positionV relativeFrom="paragraph">
                  <wp:posOffset>274320</wp:posOffset>
                </wp:positionV>
                <wp:extent cx="4504055" cy="533400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E6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:rsidR="00660E60" w:rsidRPr="001C79CB" w:rsidRDefault="005123E6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7A3F4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</w:t>
                            </w:r>
                            <w:proofErr w:type="spellStart"/>
                            <w:r w:rsidR="00996CAD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</w:t>
                            </w:r>
                            <w:r w:rsidR="007A3F4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г</w:t>
                            </w:r>
                            <w:r w:rsidR="00996CAD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т</w:t>
                            </w:r>
                            <w:proofErr w:type="spellEnd"/>
                            <w:r w:rsidR="007A3F4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="00996CAD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Кировский</w:t>
                            </w:r>
                            <w:bookmarkStart w:id="0" w:name="_GoBack"/>
                            <w:bookmarkEnd w:id="0"/>
                            <w:proofErr w:type="gramEnd"/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158 414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14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753 406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E63A3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2 260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53 406</w:t>
                            </w:r>
                            <w:r w:rsidR="00E63A3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рубль * 0,3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2B3BB3" w:rsidRDefault="002B3BB3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435E24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A400F"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gramEnd"/>
                          </w:p>
                          <w:p w:rsidR="00805AB0" w:rsidRPr="00D1185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бумажном </w:t>
                            </w:r>
                            <w:proofErr w:type="gramStart"/>
                            <w:r w:rsidRPr="00D11851">
                              <w:rPr>
                                <w:rFonts w:ascii="Arial" w:hAnsi="Arial" w:cs="Arial"/>
                              </w:rPr>
                              <w:t>носителе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DA400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ичном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кабинете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  <w:t xml:space="preserve">Остальные налогоплательщики </w:t>
                            </w:r>
                          </w:p>
                          <w:p w:rsidR="002B3BB3" w:rsidRP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margin-left:-32.7pt;margin-top:21.6pt;width:354.65pt;height:42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    <v:textbox inset="2.88pt,2.88pt,2.88pt,2.88pt">
                  <w:txbxContent>
                    <w:p w:rsidR="005123E6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:rsidR="00660E60" w:rsidRPr="001C79CB" w:rsidRDefault="005123E6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7A3F4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</w:t>
                      </w:r>
                      <w:proofErr w:type="spellStart"/>
                      <w:r w:rsidR="00996CAD">
                        <w:rPr>
                          <w:rFonts w:ascii="Arial" w:hAnsi="Arial" w:cs="Arial"/>
                          <w:bCs/>
                          <w:i/>
                        </w:rPr>
                        <w:t>п</w:t>
                      </w:r>
                      <w:r w:rsidR="007A3F4B">
                        <w:rPr>
                          <w:rFonts w:ascii="Arial" w:hAnsi="Arial" w:cs="Arial"/>
                          <w:bCs/>
                          <w:i/>
                        </w:rPr>
                        <w:t>г</w:t>
                      </w:r>
                      <w:r w:rsidR="00996CAD">
                        <w:rPr>
                          <w:rFonts w:ascii="Arial" w:hAnsi="Arial" w:cs="Arial"/>
                          <w:bCs/>
                          <w:i/>
                        </w:rPr>
                        <w:t>т</w:t>
                      </w:r>
                      <w:proofErr w:type="spellEnd"/>
                      <w:r w:rsidR="007A3F4B">
                        <w:rPr>
                          <w:rFonts w:ascii="Arial" w:hAnsi="Arial" w:cs="Arial"/>
                          <w:bCs/>
                          <w:i/>
                        </w:rPr>
                        <w:t xml:space="preserve">. </w:t>
                      </w:r>
                      <w:proofErr w:type="gramStart"/>
                      <w:r w:rsidR="00996CAD">
                        <w:rPr>
                          <w:rFonts w:ascii="Arial" w:hAnsi="Arial" w:cs="Arial"/>
                          <w:bCs/>
                          <w:i/>
                        </w:rPr>
                        <w:t>Кировский</w:t>
                      </w:r>
                      <w:bookmarkStart w:id="1" w:name="_GoBack"/>
                      <w:bookmarkEnd w:id="1"/>
                      <w:proofErr w:type="gramEnd"/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158 414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8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14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753 406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E63A3A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2 260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53 406</w:t>
                      </w:r>
                      <w:r w:rsidR="00E63A3A">
                        <w:rPr>
                          <w:rFonts w:ascii="Arial" w:hAnsi="Arial" w:cs="Arial"/>
                          <w:bCs/>
                          <w:i/>
                        </w:rPr>
                        <w:t xml:space="preserve"> рубль * 0,3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2B3BB3" w:rsidRDefault="002B3BB3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435E24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="00DA400F"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 налоговые уведомления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на</w:t>
                      </w:r>
                      <w:proofErr w:type="gramEnd"/>
                    </w:p>
                    <w:p w:rsidR="00805AB0" w:rsidRPr="00D1185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бумажном </w:t>
                      </w:r>
                      <w:proofErr w:type="gramStart"/>
                      <w:r w:rsidRPr="00D11851">
                        <w:rPr>
                          <w:rFonts w:ascii="Arial" w:hAnsi="Arial" w:cs="Arial"/>
                        </w:rPr>
                        <w:t>носителе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DA400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ичном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кабинете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  <w:t xml:space="preserve">Остальные налогоплательщики </w:t>
                      </w:r>
                    </w:p>
                    <w:p w:rsidR="002B3BB3" w:rsidRP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8E5"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D85981" wp14:editId="68EE9323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headerReference w:type="default" r:id="rId15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D7" w:rsidRDefault="00144CD7" w:rsidP="00E30609">
      <w:pPr>
        <w:spacing w:after="0" w:line="240" w:lineRule="auto"/>
      </w:pPr>
      <w:r>
        <w:separator/>
      </w:r>
    </w:p>
  </w:endnote>
  <w:endnote w:type="continuationSeparator" w:id="0">
    <w:p w:rsidR="00144CD7" w:rsidRDefault="00144CD7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D7" w:rsidRDefault="00144CD7" w:rsidP="00E30609">
      <w:pPr>
        <w:spacing w:after="0" w:line="240" w:lineRule="auto"/>
      </w:pPr>
      <w:r>
        <w:separator/>
      </w:r>
    </w:p>
  </w:footnote>
  <w:footnote w:type="continuationSeparator" w:id="0">
    <w:p w:rsidR="00144CD7" w:rsidRDefault="00144CD7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125459"/>
    <w:rsid w:val="00136B22"/>
    <w:rsid w:val="00144CD7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01C30"/>
    <w:rsid w:val="00660E60"/>
    <w:rsid w:val="00677913"/>
    <w:rsid w:val="00692024"/>
    <w:rsid w:val="006B1DD1"/>
    <w:rsid w:val="006E6284"/>
    <w:rsid w:val="006F139E"/>
    <w:rsid w:val="007251A5"/>
    <w:rsid w:val="00734BBD"/>
    <w:rsid w:val="007370D0"/>
    <w:rsid w:val="007515BC"/>
    <w:rsid w:val="00766E78"/>
    <w:rsid w:val="00770B3E"/>
    <w:rsid w:val="007A3F4B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970755"/>
    <w:rsid w:val="009828BA"/>
    <w:rsid w:val="00996CAD"/>
    <w:rsid w:val="009C19DF"/>
    <w:rsid w:val="009C78F4"/>
    <w:rsid w:val="00A23F7B"/>
    <w:rsid w:val="00A75275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41509"/>
    <w:rsid w:val="00C54274"/>
    <w:rsid w:val="00C61343"/>
    <w:rsid w:val="00C660FF"/>
    <w:rsid w:val="00C92881"/>
    <w:rsid w:val="00CB3E78"/>
    <w:rsid w:val="00D11851"/>
    <w:rsid w:val="00D31BFB"/>
    <w:rsid w:val="00D45490"/>
    <w:rsid w:val="00D825D9"/>
    <w:rsid w:val="00DA38E5"/>
    <w:rsid w:val="00DA400F"/>
    <w:rsid w:val="00DD12EE"/>
    <w:rsid w:val="00E24CFC"/>
    <w:rsid w:val="00E30609"/>
    <w:rsid w:val="00E46BFD"/>
    <w:rsid w:val="00E63A3A"/>
    <w:rsid w:val="00E758A1"/>
    <w:rsid w:val="00E86959"/>
    <w:rsid w:val="00EC0D91"/>
    <w:rsid w:val="00EE63B8"/>
    <w:rsid w:val="00EF2A4B"/>
    <w:rsid w:val="00EF65E5"/>
    <w:rsid w:val="00F3220F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23DD-F4A0-452B-A331-809E56CB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Зайкова Татьяна Георгиевна</cp:lastModifiedBy>
  <cp:revision>4</cp:revision>
  <cp:lastPrinted>2017-06-06T09:04:00Z</cp:lastPrinted>
  <dcterms:created xsi:type="dcterms:W3CDTF">2017-06-28T05:14:00Z</dcterms:created>
  <dcterms:modified xsi:type="dcterms:W3CDTF">2017-07-31T05:04:00Z</dcterms:modified>
</cp:coreProperties>
</file>