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0B" w:rsidRPr="00A0310B" w:rsidRDefault="00A0310B" w:rsidP="00A0310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0310B">
        <w:rPr>
          <w:b/>
          <w:sz w:val="28"/>
          <w:szCs w:val="28"/>
        </w:rPr>
        <w:t xml:space="preserve">ИНФОРМАЦИЯ </w:t>
      </w:r>
    </w:p>
    <w:p w:rsidR="00A0310B" w:rsidRDefault="00A0310B" w:rsidP="00A0310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2D500B">
        <w:rPr>
          <w:b/>
          <w:sz w:val="28"/>
          <w:szCs w:val="28"/>
        </w:rPr>
        <w:t>о результатах проверки соблюдения</w:t>
      </w:r>
      <w:r>
        <w:rPr>
          <w:b/>
          <w:sz w:val="28"/>
          <w:szCs w:val="28"/>
        </w:rPr>
        <w:t xml:space="preserve"> установленного порядка предоставления из бюджета Кировского муниципального района субсидий субъектам малого и среднего предпринимательства</w:t>
      </w:r>
    </w:p>
    <w:p w:rsidR="00A0310B" w:rsidRDefault="00A0310B" w:rsidP="00A0310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 рамках муниципальной программы «Развитие малого и среднего предпринимательства в Кировском муниципальном районе </w:t>
      </w:r>
    </w:p>
    <w:p w:rsidR="00A0310B" w:rsidRDefault="00A0310B" w:rsidP="00A0310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2023-2027 годы»)</w:t>
      </w:r>
    </w:p>
    <w:p w:rsidR="00A0310B" w:rsidRDefault="00A0310B" w:rsidP="00A0310B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10B" w:rsidRDefault="00A0310B" w:rsidP="00A0310B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1E5614">
        <w:rPr>
          <w:sz w:val="28"/>
          <w:szCs w:val="28"/>
        </w:rPr>
        <w:t>Анализ</w:t>
      </w:r>
      <w:r>
        <w:rPr>
          <w:sz w:val="28"/>
          <w:szCs w:val="28"/>
        </w:rPr>
        <w:t>ом</w:t>
      </w:r>
      <w:r w:rsidRPr="001E5614">
        <w:rPr>
          <w:sz w:val="28"/>
          <w:szCs w:val="28"/>
        </w:rPr>
        <w:t xml:space="preserve"> соблюдения </w:t>
      </w:r>
      <w:r w:rsidRPr="001E5614">
        <w:rPr>
          <w:bCs/>
          <w:sz w:val="28"/>
          <w:szCs w:val="28"/>
        </w:rPr>
        <w:t>нормативных правовых актов, регулирующих вопросы в рамках контрольного мероприятия</w:t>
      </w:r>
      <w:r>
        <w:rPr>
          <w:bCs/>
          <w:sz w:val="28"/>
          <w:szCs w:val="28"/>
        </w:rPr>
        <w:t>, установлены следующие нарушения.</w:t>
      </w:r>
    </w:p>
    <w:p w:rsidR="00A0310B" w:rsidRDefault="00A0310B" w:rsidP="00A031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требований </w:t>
      </w:r>
      <w:proofErr w:type="gramStart"/>
      <w:r>
        <w:rPr>
          <w:sz w:val="28"/>
          <w:szCs w:val="28"/>
        </w:rPr>
        <w:t>подпункта  2</w:t>
      </w:r>
      <w:proofErr w:type="gramEnd"/>
      <w:r>
        <w:rPr>
          <w:sz w:val="28"/>
          <w:szCs w:val="28"/>
        </w:rPr>
        <w:t xml:space="preserve"> пункта 3 статьи 78 БК РФ, Порядок предоставления субсидий </w:t>
      </w:r>
      <w:r>
        <w:rPr>
          <w:b/>
          <w:i/>
          <w:sz w:val="28"/>
          <w:szCs w:val="28"/>
        </w:rPr>
        <w:t xml:space="preserve">не содержит </w:t>
      </w:r>
      <w:r>
        <w:rPr>
          <w:sz w:val="28"/>
          <w:szCs w:val="28"/>
        </w:rPr>
        <w:t>норм, определяющих результаты предоставления субсидий.</w:t>
      </w:r>
    </w:p>
    <w:p w:rsidR="00A0310B" w:rsidRDefault="00A0310B" w:rsidP="00A031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подпункта 5 пункта 3 статьи 78 БК РФ, в Порядке предоставления субсидий администрацией КМР  </w:t>
      </w:r>
      <w:r>
        <w:rPr>
          <w:b/>
          <w:i/>
          <w:sz w:val="28"/>
          <w:szCs w:val="28"/>
        </w:rPr>
        <w:t>не предусмотрены</w:t>
      </w:r>
      <w:r>
        <w:rPr>
          <w:sz w:val="28"/>
          <w:szCs w:val="28"/>
        </w:rPr>
        <w:t xml:space="preserve"> положения об осуществлении в отношении получателей субсидий проверок органами муниципального финансового контроля в соответствии со </w:t>
      </w:r>
      <w:hyperlink r:id="rId4" w:anchor="dst3704" w:history="1">
        <w:r>
          <w:rPr>
            <w:rStyle w:val="a3"/>
            <w:color w:val="auto"/>
            <w:sz w:val="28"/>
            <w:szCs w:val="28"/>
            <w:u w:val="none"/>
          </w:rPr>
          <w:t>статьями 268.1</w:t>
        </w:r>
      </w:hyperlink>
      <w:r>
        <w:rPr>
          <w:sz w:val="28"/>
          <w:szCs w:val="28"/>
        </w:rPr>
        <w:t> и </w:t>
      </w:r>
      <w:hyperlink r:id="rId5" w:anchor="dst3722" w:history="1">
        <w:r>
          <w:rPr>
            <w:rStyle w:val="a3"/>
            <w:color w:val="auto"/>
            <w:sz w:val="28"/>
            <w:szCs w:val="28"/>
            <w:u w:val="none"/>
          </w:rPr>
          <w:t>269.2</w:t>
        </w:r>
      </w:hyperlink>
      <w:r>
        <w:rPr>
          <w:sz w:val="28"/>
          <w:szCs w:val="28"/>
        </w:rPr>
        <w:t> БК РФ.</w:t>
      </w:r>
    </w:p>
    <w:p w:rsidR="00A0310B" w:rsidRDefault="00A0310B" w:rsidP="00A031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подпункта «а» пункта 3 Общих требований, установленных постановлением Правительства РФ № </w:t>
      </w:r>
      <w:proofErr w:type="gramStart"/>
      <w:r>
        <w:rPr>
          <w:sz w:val="28"/>
          <w:szCs w:val="28"/>
        </w:rPr>
        <w:t>1782,  Порядок</w:t>
      </w:r>
      <w:proofErr w:type="gramEnd"/>
      <w:r>
        <w:rPr>
          <w:sz w:val="28"/>
          <w:szCs w:val="28"/>
        </w:rPr>
        <w:t xml:space="preserve"> предоставления субсидий </w:t>
      </w:r>
      <w:r w:rsidRPr="009B2029">
        <w:rPr>
          <w:b/>
          <w:i/>
          <w:sz w:val="28"/>
          <w:szCs w:val="28"/>
        </w:rPr>
        <w:t>не содержит</w:t>
      </w:r>
      <w:r>
        <w:rPr>
          <w:sz w:val="28"/>
          <w:szCs w:val="28"/>
        </w:rPr>
        <w:t xml:space="preserve"> </w:t>
      </w:r>
      <w:r w:rsidRPr="009B2029">
        <w:rPr>
          <w:sz w:val="28"/>
          <w:szCs w:val="28"/>
        </w:rPr>
        <w:t>требования,</w:t>
      </w:r>
      <w:r>
        <w:rPr>
          <w:sz w:val="28"/>
          <w:szCs w:val="28"/>
        </w:rPr>
        <w:t xml:space="preserve"> которым должен соответствовать получатель субсидий, в том числе:</w:t>
      </w:r>
    </w:p>
    <w:p w:rsidR="00A0310B" w:rsidRDefault="00A0310B" w:rsidP="00A0310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0310B" w:rsidRDefault="00A0310B" w:rsidP="00A0310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0310B" w:rsidRDefault="00A0310B" w:rsidP="00A0310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влиянием».</w:t>
      </w:r>
    </w:p>
    <w:p w:rsidR="00A0310B" w:rsidRDefault="00A0310B" w:rsidP="00A0310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подпункта «ж» пункта 3 Общих требований,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постановлением Правительства РФ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1782, 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не содержит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 и порядок заключения между главным распорядителем бюджетных средств и получателем субсидии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соглашения, дополнительного соглашения к соглашению.</w:t>
      </w:r>
    </w:p>
    <w:p w:rsidR="00A0310B" w:rsidRDefault="00A0310B" w:rsidP="00A031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нарушение подпункта «к» пункта 3 Общих требований, </w:t>
      </w:r>
      <w:r>
        <w:rPr>
          <w:sz w:val="28"/>
          <w:szCs w:val="28"/>
        </w:rPr>
        <w:t xml:space="preserve">установленных постановлением Правительства РФ № </w:t>
      </w:r>
      <w:proofErr w:type="gramStart"/>
      <w:r>
        <w:rPr>
          <w:sz w:val="28"/>
          <w:szCs w:val="28"/>
        </w:rPr>
        <w:t xml:space="preserve">1782,   </w:t>
      </w:r>
      <w:proofErr w:type="gramEnd"/>
      <w:r>
        <w:rPr>
          <w:sz w:val="28"/>
          <w:szCs w:val="28"/>
        </w:rPr>
        <w:t>Порядок предоставления субсидий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/>
          <w:i/>
          <w:sz w:val="28"/>
          <w:szCs w:val="28"/>
        </w:rPr>
        <w:t>не содержит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информацию о достигнутых результатах предоставления субсидии. </w:t>
      </w:r>
    </w:p>
    <w:p w:rsidR="00A0310B" w:rsidRDefault="00A0310B" w:rsidP="00A0310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029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9B2029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подпунктов «б» и «в» пункта 7 Общих требований, </w:t>
      </w:r>
      <w:r w:rsidRPr="009B2029">
        <w:rPr>
          <w:rFonts w:ascii="Times New Roman" w:hAnsi="Times New Roman" w:cs="Times New Roman"/>
          <w:sz w:val="28"/>
          <w:szCs w:val="28"/>
        </w:rPr>
        <w:t xml:space="preserve">установленных постановлением Правительства РФ № </w:t>
      </w:r>
      <w:proofErr w:type="gramStart"/>
      <w:r w:rsidRPr="009B2029">
        <w:rPr>
          <w:rFonts w:ascii="Times New Roman" w:hAnsi="Times New Roman" w:cs="Times New Roman"/>
          <w:sz w:val="28"/>
          <w:szCs w:val="28"/>
        </w:rPr>
        <w:t xml:space="preserve">1782,   </w:t>
      </w:r>
      <w:proofErr w:type="gramEnd"/>
      <w:r w:rsidRPr="009B2029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Pr="009B2029">
        <w:rPr>
          <w:rFonts w:ascii="Times New Roman" w:hAnsi="Times New Roman" w:cs="Times New Roman"/>
          <w:b/>
          <w:i/>
          <w:sz w:val="28"/>
          <w:szCs w:val="28"/>
        </w:rPr>
        <w:t>не содержит</w:t>
      </w:r>
      <w:r w:rsidRPr="009B2029">
        <w:rPr>
          <w:rFonts w:ascii="Times New Roman" w:hAnsi="Times New Roman" w:cs="Times New Roman"/>
          <w:sz w:val="28"/>
          <w:szCs w:val="28"/>
        </w:rPr>
        <w:t xml:space="preserve"> </w:t>
      </w:r>
      <w:r w:rsidRPr="009B2029">
        <w:rPr>
          <w:rFonts w:ascii="Times New Roman" w:hAnsi="Times New Roman" w:cs="Times New Roman"/>
          <w:color w:val="000000"/>
          <w:sz w:val="28"/>
          <w:szCs w:val="28"/>
        </w:rPr>
        <w:t>информацию о</w:t>
      </w:r>
      <w:r w:rsidRPr="009B2029">
        <w:rPr>
          <w:color w:val="000000"/>
          <w:sz w:val="28"/>
          <w:szCs w:val="28"/>
        </w:rPr>
        <w:t xml:space="preserve"> </w:t>
      </w:r>
      <w:r w:rsidRPr="009B2029">
        <w:rPr>
          <w:rFonts w:ascii="Times New Roman" w:hAnsi="Times New Roman" w:cs="Times New Roman"/>
          <w:color w:val="000000"/>
          <w:sz w:val="28"/>
          <w:szCs w:val="28"/>
        </w:rPr>
        <w:t>мерах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за нарушение условий и порядка предоставления субсидий, в том числе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субсидий:</w:t>
      </w:r>
    </w:p>
    <w:p w:rsidR="00A0310B" w:rsidRDefault="00A0310B" w:rsidP="00A0310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2029">
        <w:rPr>
          <w:rFonts w:ascii="Times New Roman" w:hAnsi="Times New Roman" w:cs="Times New Roman"/>
          <w:sz w:val="28"/>
          <w:szCs w:val="28"/>
        </w:rPr>
        <w:t xml:space="preserve">пени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установленные соглашением сроки значения результата предоставления субсидии в размере 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трехсотшестидесятой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ключевой ставки Центрального банка Российской Федерации, действующей на дату начала начисления пени, от суммы субсидии, подлежащей возврату, за каждый день просрочки;</w:t>
      </w:r>
    </w:p>
    <w:p w:rsidR="00A0310B" w:rsidRDefault="00A0310B" w:rsidP="00A0310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2029">
        <w:rPr>
          <w:rFonts w:ascii="Times New Roman" w:hAnsi="Times New Roman" w:cs="Times New Roman"/>
          <w:sz w:val="28"/>
          <w:szCs w:val="28"/>
        </w:rPr>
        <w:t>штрафных санкций</w:t>
      </w:r>
      <w:r>
        <w:rPr>
          <w:rFonts w:ascii="Times New Roman" w:hAnsi="Times New Roman" w:cs="Times New Roman"/>
          <w:sz w:val="28"/>
          <w:szCs w:val="28"/>
        </w:rPr>
        <w:t xml:space="preserve"> к получателю субсидии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контроля.</w:t>
      </w:r>
    </w:p>
    <w:p w:rsidR="00A0310B" w:rsidRDefault="00A0310B" w:rsidP="00A0310B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Таким образом, Порядок предоставления субсидий, принятый администрацией Кировского муниципального района, </w:t>
      </w:r>
      <w:r>
        <w:rPr>
          <w:b/>
          <w:i/>
          <w:sz w:val="28"/>
          <w:szCs w:val="28"/>
        </w:rPr>
        <w:t>не в полной мере</w:t>
      </w:r>
      <w:r>
        <w:rPr>
          <w:sz w:val="28"/>
          <w:szCs w:val="28"/>
        </w:rPr>
        <w:t xml:space="preserve"> соответствует требованиям статьи 78 БК РФ и Общим требованиям, установленным постановлением Правительства РФ № 1782.</w:t>
      </w:r>
    </w:p>
    <w:p w:rsidR="00A0310B" w:rsidRPr="00862431" w:rsidRDefault="00A0310B" w:rsidP="00A031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</w:rPr>
      </w:pPr>
    </w:p>
    <w:p w:rsidR="00A0310B" w:rsidRDefault="00A0310B" w:rsidP="00A0310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создания условий развития малого и среднего предпринимательства утверждена муниципальная программа «Развитие малого и среднего предпринимательства в </w:t>
      </w:r>
      <w:proofErr w:type="gramStart"/>
      <w:r>
        <w:rPr>
          <w:sz w:val="28"/>
          <w:szCs w:val="28"/>
        </w:rPr>
        <w:t>Кировском  муниципальном</w:t>
      </w:r>
      <w:proofErr w:type="gramEnd"/>
      <w:r>
        <w:rPr>
          <w:sz w:val="28"/>
          <w:szCs w:val="28"/>
        </w:rPr>
        <w:t xml:space="preserve"> районе на 2023-2027 годы».</w:t>
      </w:r>
    </w:p>
    <w:p w:rsidR="00A0310B" w:rsidRDefault="00A0310B" w:rsidP="00A031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анализ положений представленной Программы показал, </w:t>
      </w:r>
      <w:proofErr w:type="gramStart"/>
      <w:r>
        <w:rPr>
          <w:sz w:val="28"/>
          <w:szCs w:val="28"/>
        </w:rPr>
        <w:t>что  ее</w:t>
      </w:r>
      <w:proofErr w:type="gramEnd"/>
      <w:r>
        <w:rPr>
          <w:sz w:val="28"/>
          <w:szCs w:val="28"/>
        </w:rPr>
        <w:t xml:space="preserve"> структура соответствует требованиям, установленным Порядком разработки программ  № 98. </w:t>
      </w:r>
    </w:p>
    <w:p w:rsidR="00A0310B" w:rsidRDefault="00A0310B" w:rsidP="00A031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нарушение пункта 2 Порядка разработки </w:t>
      </w:r>
      <w:proofErr w:type="gramStart"/>
      <w:r>
        <w:rPr>
          <w:sz w:val="28"/>
          <w:szCs w:val="28"/>
        </w:rPr>
        <w:t>программ  №</w:t>
      </w:r>
      <w:proofErr w:type="gramEnd"/>
      <w:r>
        <w:rPr>
          <w:sz w:val="28"/>
          <w:szCs w:val="28"/>
        </w:rPr>
        <w:t xml:space="preserve"> 98, Программа приведена в соответствие </w:t>
      </w:r>
      <w:r>
        <w:rPr>
          <w:b/>
          <w:i/>
          <w:sz w:val="28"/>
          <w:szCs w:val="28"/>
        </w:rPr>
        <w:t>позднее</w:t>
      </w:r>
      <w:r>
        <w:rPr>
          <w:sz w:val="28"/>
          <w:szCs w:val="28"/>
        </w:rPr>
        <w:t xml:space="preserve"> установленного срока (12 сентября 2024 года). </w:t>
      </w:r>
    </w:p>
    <w:p w:rsidR="00A0310B" w:rsidRDefault="00A0310B" w:rsidP="00A0310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 эффективности программных мероприятий, </w:t>
      </w:r>
      <w:proofErr w:type="gramStart"/>
      <w:r>
        <w:rPr>
          <w:sz w:val="28"/>
          <w:szCs w:val="28"/>
        </w:rPr>
        <w:t>реализованных  в</w:t>
      </w:r>
      <w:proofErr w:type="gramEnd"/>
      <w:r>
        <w:rPr>
          <w:sz w:val="28"/>
          <w:szCs w:val="28"/>
        </w:rPr>
        <w:t xml:space="preserve"> 2023 году, показал, что объем бюджетных ассигнований, предусмотренный на реализацию Программы на начало отчетного периода,  составлял </w:t>
      </w:r>
      <w:r>
        <w:rPr>
          <w:b/>
          <w:i/>
          <w:sz w:val="28"/>
          <w:szCs w:val="28"/>
        </w:rPr>
        <w:t>200,0 тыс. рублей</w:t>
      </w:r>
      <w:r>
        <w:rPr>
          <w:sz w:val="28"/>
          <w:szCs w:val="28"/>
        </w:rPr>
        <w:t xml:space="preserve">. В связи </w:t>
      </w:r>
      <w:r>
        <w:rPr>
          <w:b/>
          <w:i/>
          <w:sz w:val="28"/>
          <w:szCs w:val="28"/>
        </w:rPr>
        <w:t xml:space="preserve">с отсутствием </w:t>
      </w:r>
      <w:r>
        <w:rPr>
          <w:sz w:val="28"/>
          <w:szCs w:val="28"/>
        </w:rPr>
        <w:t xml:space="preserve">получателей субсидий, плановый показатель </w:t>
      </w:r>
      <w:r>
        <w:rPr>
          <w:sz w:val="28"/>
          <w:szCs w:val="28"/>
        </w:rPr>
        <w:lastRenderedPageBreak/>
        <w:t xml:space="preserve">к концу года </w:t>
      </w:r>
      <w:r>
        <w:rPr>
          <w:b/>
          <w:i/>
          <w:sz w:val="28"/>
          <w:szCs w:val="28"/>
        </w:rPr>
        <w:t>сократился</w:t>
      </w:r>
      <w:r>
        <w:rPr>
          <w:sz w:val="28"/>
          <w:szCs w:val="28"/>
        </w:rPr>
        <w:t xml:space="preserve"> на 118,8 тыс. рублей или </w:t>
      </w:r>
      <w:r>
        <w:rPr>
          <w:b/>
          <w:i/>
          <w:sz w:val="28"/>
          <w:szCs w:val="28"/>
        </w:rPr>
        <w:t>на 59,4 % (в 2,5 раза)</w:t>
      </w:r>
      <w:r>
        <w:rPr>
          <w:sz w:val="28"/>
          <w:szCs w:val="28"/>
        </w:rPr>
        <w:t xml:space="preserve"> и составил </w:t>
      </w:r>
      <w:r>
        <w:rPr>
          <w:b/>
          <w:i/>
          <w:sz w:val="28"/>
          <w:szCs w:val="28"/>
        </w:rPr>
        <w:t>81,2 тыс. рублей</w:t>
      </w:r>
      <w:r>
        <w:rPr>
          <w:sz w:val="28"/>
          <w:szCs w:val="28"/>
        </w:rPr>
        <w:t>.</w:t>
      </w:r>
    </w:p>
    <w:p w:rsidR="00A0310B" w:rsidRDefault="00A0310B" w:rsidP="00A0310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2023 году </w:t>
      </w:r>
      <w:r w:rsidRPr="00BB5B70">
        <w:rPr>
          <w:b/>
          <w:i/>
          <w:sz w:val="28"/>
          <w:szCs w:val="28"/>
        </w:rPr>
        <w:t xml:space="preserve">финансовая </w:t>
      </w:r>
      <w:r>
        <w:rPr>
          <w:sz w:val="28"/>
          <w:szCs w:val="28"/>
        </w:rPr>
        <w:t>поддержка оказана двум субъектам МСП, в том числе:</w:t>
      </w:r>
    </w:p>
    <w:p w:rsidR="00A0310B" w:rsidRDefault="00A0310B" w:rsidP="00A0310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69,0 тыс. рублей - одному индивидуальному </w:t>
      </w:r>
      <w:proofErr w:type="gramStart"/>
      <w:r>
        <w:rPr>
          <w:sz w:val="28"/>
          <w:szCs w:val="28"/>
        </w:rPr>
        <w:t>предпринимателю  в</w:t>
      </w:r>
      <w:proofErr w:type="gramEnd"/>
      <w:r>
        <w:rPr>
          <w:sz w:val="28"/>
          <w:szCs w:val="28"/>
        </w:rPr>
        <w:t xml:space="preserve">  сфере социального предпринимательства (на возмещение части затрат, связанных с коммунальными  платежами, арендой помещения, используемого для основной деятельности);</w:t>
      </w:r>
    </w:p>
    <w:p w:rsidR="00A0310B" w:rsidRDefault="00A0310B" w:rsidP="00A0310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9,2 тыс. рублей - одному физическому лицу, применяющему налог на профессиональный доход (на </w:t>
      </w:r>
      <w:proofErr w:type="gramStart"/>
      <w:r>
        <w:rPr>
          <w:sz w:val="28"/>
          <w:szCs w:val="28"/>
        </w:rPr>
        <w:t>возмещение  стоимости</w:t>
      </w:r>
      <w:proofErr w:type="gramEnd"/>
      <w:r>
        <w:rPr>
          <w:sz w:val="28"/>
          <w:szCs w:val="28"/>
        </w:rPr>
        <w:t xml:space="preserve">  инвентаря).</w:t>
      </w:r>
    </w:p>
    <w:p w:rsidR="00A0310B" w:rsidRDefault="00A0310B" w:rsidP="00A0310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в 2023 году субъектам МСП оказана </w:t>
      </w:r>
      <w:r w:rsidRPr="00BB5B70">
        <w:rPr>
          <w:b/>
          <w:i/>
          <w:sz w:val="28"/>
          <w:szCs w:val="28"/>
        </w:rPr>
        <w:t>имущественная</w:t>
      </w:r>
      <w:r>
        <w:rPr>
          <w:sz w:val="28"/>
          <w:szCs w:val="28"/>
        </w:rPr>
        <w:t xml:space="preserve"> поддержка - предоставлено 4 объекта недвижимости (1 земельный участок, 1 здание, 2 помещения).</w:t>
      </w:r>
    </w:p>
    <w:p w:rsidR="00A0310B" w:rsidRDefault="00A0310B" w:rsidP="00A0310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ежегодному Докладу об оценке эффективности реализации муниципальных программ значение целевых индикаторов (показателей) Программы составило:</w:t>
      </w:r>
    </w:p>
    <w:p w:rsidR="00A0310B" w:rsidRDefault="00A0310B" w:rsidP="00A0310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количество субъектов МСП, социального предпринимательства получивших информационную, финансовую, имущественную поддержку в </w:t>
      </w:r>
      <w:proofErr w:type="gramStart"/>
      <w:r>
        <w:rPr>
          <w:sz w:val="28"/>
          <w:szCs w:val="28"/>
        </w:rPr>
        <w:t>Кировском  муниципальном</w:t>
      </w:r>
      <w:proofErr w:type="gramEnd"/>
      <w:r>
        <w:rPr>
          <w:sz w:val="28"/>
          <w:szCs w:val="28"/>
        </w:rPr>
        <w:t xml:space="preserve">  районе - </w:t>
      </w:r>
      <w:r>
        <w:rPr>
          <w:b/>
          <w:i/>
          <w:sz w:val="28"/>
          <w:szCs w:val="28"/>
        </w:rPr>
        <w:t>104 единицы</w:t>
      </w:r>
      <w:r>
        <w:rPr>
          <w:sz w:val="28"/>
          <w:szCs w:val="28"/>
        </w:rPr>
        <w:t xml:space="preserve">, что на </w:t>
      </w:r>
      <w:r>
        <w:rPr>
          <w:b/>
          <w:i/>
          <w:sz w:val="28"/>
          <w:szCs w:val="28"/>
        </w:rPr>
        <w:t>29 единиц в 1,4 раза больше</w:t>
      </w:r>
      <w:r>
        <w:rPr>
          <w:sz w:val="28"/>
          <w:szCs w:val="28"/>
        </w:rPr>
        <w:t xml:space="preserve"> запланированного показателя (75 единиц);</w:t>
      </w:r>
    </w:p>
    <w:p w:rsidR="00A0310B" w:rsidRDefault="00A0310B" w:rsidP="00A0310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количество налогоплательщиков налога на профессиональный доход - </w:t>
      </w:r>
      <w:r>
        <w:rPr>
          <w:b/>
          <w:bCs/>
          <w:i/>
          <w:sz w:val="28"/>
          <w:szCs w:val="28"/>
        </w:rPr>
        <w:t>866 человек</w:t>
      </w:r>
      <w:r>
        <w:rPr>
          <w:bCs/>
          <w:sz w:val="28"/>
          <w:szCs w:val="28"/>
        </w:rPr>
        <w:t xml:space="preserve">, что на </w:t>
      </w:r>
      <w:r>
        <w:rPr>
          <w:b/>
          <w:bCs/>
          <w:i/>
          <w:sz w:val="28"/>
          <w:szCs w:val="28"/>
        </w:rPr>
        <w:t xml:space="preserve">426 человек или в 2 </w:t>
      </w:r>
      <w:proofErr w:type="gramStart"/>
      <w:r>
        <w:rPr>
          <w:b/>
          <w:bCs/>
          <w:i/>
          <w:sz w:val="28"/>
          <w:szCs w:val="28"/>
        </w:rPr>
        <w:t>раза  больше</w:t>
      </w:r>
      <w:proofErr w:type="gramEnd"/>
      <w:r>
        <w:rPr>
          <w:bCs/>
          <w:sz w:val="28"/>
          <w:szCs w:val="28"/>
        </w:rPr>
        <w:t xml:space="preserve"> запланированного показателя (440 человек)</w:t>
      </w:r>
      <w:r>
        <w:rPr>
          <w:sz w:val="28"/>
          <w:szCs w:val="28"/>
        </w:rPr>
        <w:t xml:space="preserve">; </w:t>
      </w:r>
    </w:p>
    <w:p w:rsidR="00A0310B" w:rsidRDefault="00A0310B" w:rsidP="00A0310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доля объектов недвижимого имущества сданных в аренду субъектам малого и среднего предпринимательства - </w:t>
      </w:r>
      <w:r>
        <w:rPr>
          <w:b/>
          <w:bCs/>
          <w:i/>
          <w:sz w:val="28"/>
          <w:szCs w:val="28"/>
        </w:rPr>
        <w:t>44,0 %</w:t>
      </w:r>
      <w:r>
        <w:rPr>
          <w:bCs/>
          <w:sz w:val="28"/>
          <w:szCs w:val="28"/>
        </w:rPr>
        <w:t xml:space="preserve">, что на </w:t>
      </w:r>
      <w:r>
        <w:rPr>
          <w:b/>
          <w:bCs/>
          <w:i/>
          <w:sz w:val="28"/>
          <w:szCs w:val="28"/>
        </w:rPr>
        <w:t>4,0 %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больше</w:t>
      </w:r>
      <w:r>
        <w:rPr>
          <w:bCs/>
          <w:sz w:val="28"/>
          <w:szCs w:val="28"/>
        </w:rPr>
        <w:t xml:space="preserve"> запланированного показателя (40,0 %).</w:t>
      </w:r>
      <w:r>
        <w:rPr>
          <w:sz w:val="28"/>
          <w:szCs w:val="28"/>
        </w:rPr>
        <w:t xml:space="preserve">  </w:t>
      </w:r>
    </w:p>
    <w:p w:rsidR="00A0310B" w:rsidRDefault="00A0310B" w:rsidP="00A0310B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Согласно Докладу, утвержденному администрацией КМР, действующая Программа признана </w:t>
      </w:r>
      <w:proofErr w:type="gramStart"/>
      <w:r>
        <w:rPr>
          <w:sz w:val="28"/>
          <w:szCs w:val="28"/>
        </w:rPr>
        <w:t>эффективной  и</w:t>
      </w:r>
      <w:proofErr w:type="gramEnd"/>
      <w:r>
        <w:rPr>
          <w:sz w:val="28"/>
          <w:szCs w:val="28"/>
        </w:rPr>
        <w:t xml:space="preserve"> целесообразна к финансированию.</w:t>
      </w:r>
    </w:p>
    <w:p w:rsidR="00A0310B" w:rsidRDefault="00A0310B" w:rsidP="00A031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по результатам проведенного анализа Контрольно-счетная комиссия отмечает,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сокращение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объема финансирования  в 2023 году в 2,5 раза (с 200,0 до 81,2 тыс. рублей) существенно </w:t>
      </w:r>
      <w:r>
        <w:rPr>
          <w:rFonts w:ascii="Times New Roman" w:hAnsi="Times New Roman" w:cs="Times New Roman"/>
          <w:b/>
          <w:i/>
          <w:sz w:val="28"/>
          <w:szCs w:val="28"/>
        </w:rPr>
        <w:t>снизило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программных мероприятий, что отразилось на количестве получателей </w:t>
      </w:r>
      <w:r w:rsidRPr="00166FC4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и размеру выплат по ним.</w:t>
      </w:r>
    </w:p>
    <w:p w:rsidR="00A0310B" w:rsidRDefault="00A0310B" w:rsidP="00A031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проведенным анализом установлена </w:t>
      </w:r>
      <w:r>
        <w:rPr>
          <w:rFonts w:ascii="Times New Roman" w:hAnsi="Times New Roman" w:cs="Times New Roman"/>
          <w:b/>
          <w:i/>
          <w:sz w:val="28"/>
          <w:szCs w:val="28"/>
        </w:rPr>
        <w:t>недостоверность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данных, отраженных в Докладе. </w:t>
      </w:r>
    </w:p>
    <w:p w:rsidR="00A0310B" w:rsidRDefault="00A0310B" w:rsidP="00A031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 состоянию на 31 декабря 2023 года субъектам МСП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предоставлено 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(2 земельных участка и  3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что в процентном соотношении составило 55,6 процентов  вместо 44,0 процентов, отраженных  в Докладе. </w:t>
      </w:r>
    </w:p>
    <w:p w:rsidR="00A0310B" w:rsidRDefault="00A0310B" w:rsidP="00A031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</w:t>
      </w:r>
      <w:r>
        <w:rPr>
          <w:sz w:val="16"/>
          <w:szCs w:val="16"/>
        </w:rPr>
        <w:t xml:space="preserve"> </w:t>
      </w:r>
      <w:r>
        <w:rPr>
          <w:bCs/>
          <w:sz w:val="28"/>
          <w:szCs w:val="28"/>
        </w:rPr>
        <w:t xml:space="preserve">Докладе </w:t>
      </w:r>
      <w:r>
        <w:rPr>
          <w:b/>
          <w:bCs/>
          <w:i/>
          <w:sz w:val="28"/>
          <w:szCs w:val="28"/>
        </w:rPr>
        <w:t>не отражена</w:t>
      </w:r>
      <w:r>
        <w:rPr>
          <w:bCs/>
          <w:sz w:val="28"/>
          <w:szCs w:val="28"/>
        </w:rPr>
        <w:t xml:space="preserve"> информация о количестве молодежи,</w:t>
      </w:r>
      <w:r w:rsidRPr="00166F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вовлеченных в предпринимательскую деятельность, а также</w:t>
      </w:r>
      <w:r>
        <w:rPr>
          <w:rFonts w:eastAsiaTheme="minorHAnsi"/>
          <w:sz w:val="28"/>
          <w:szCs w:val="28"/>
          <w:lang w:eastAsia="en-US"/>
        </w:rPr>
        <w:t xml:space="preserve"> количестве мероприятий и информационной кампании, направленной на вовлечение молодежи в предпринимательскую деятельность.</w:t>
      </w:r>
    </w:p>
    <w:p w:rsidR="00A0310B" w:rsidRDefault="00A0310B" w:rsidP="00A0310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проверки обращено внимание </w:t>
      </w:r>
      <w:r w:rsidRPr="00C266ED">
        <w:rPr>
          <w:rFonts w:ascii="Times New Roman" w:hAnsi="Times New Roman" w:cs="Times New Roman"/>
          <w:sz w:val="28"/>
          <w:szCs w:val="28"/>
        </w:rPr>
        <w:t>на существенное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налогоплательщиков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налога на профессиональный доход к концу 2023 года  до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866 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 426 человек или в 2 раза). При этом согласно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Докладу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их количество на начало 2023 года составляло 542 человека, что на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102 человека или 18,8 % больше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показателя (целевого индикатора), запланированного Программой к концу 2023 года (440 человек). </w:t>
      </w:r>
    </w:p>
    <w:p w:rsidR="00A0310B" w:rsidRDefault="00A0310B" w:rsidP="00A0310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этом увеличение значения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показателя 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части количества указанных налогоплательщиков на 2023 год и последующие периоды 2024-2027 годов Программой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не скорректировано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, что приведет к существенному перекосу их достижения (2024 год – 470 человек; 2025 год – 500 человек; 2026 год – 550 человек; 2027 год – 616 человек). </w:t>
      </w:r>
    </w:p>
    <w:p w:rsidR="00A0310B" w:rsidRDefault="00A0310B" w:rsidP="00A031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в нарушение пункта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6.1.1  раздела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VI  Порядка разработки программ  № 98, уполномоченный орган (отдел экономики, торговли и предпринимательства администрации КМР), который несет ответственность за достижение целевых показателей (индикаторов) муниципальной программы, а также конечных результатов ее реализации, </w:t>
      </w:r>
      <w:r>
        <w:rPr>
          <w:rFonts w:ascii="Times New Roman" w:hAnsi="Times New Roman" w:cs="Times New Roman"/>
          <w:b/>
          <w:i/>
          <w:sz w:val="28"/>
          <w:szCs w:val="28"/>
        </w:rPr>
        <w:t>не обеспечил</w:t>
      </w:r>
      <w:r>
        <w:rPr>
          <w:rFonts w:ascii="Times New Roman" w:hAnsi="Times New Roman" w:cs="Times New Roman"/>
          <w:sz w:val="28"/>
          <w:szCs w:val="28"/>
        </w:rPr>
        <w:t xml:space="preserve"> внесение изменений в Программу  части </w:t>
      </w:r>
      <w:r w:rsidRPr="00C266ED">
        <w:rPr>
          <w:rFonts w:ascii="Times New Roman" w:hAnsi="Times New Roman" w:cs="Times New Roman"/>
          <w:b/>
          <w:i/>
          <w:sz w:val="28"/>
          <w:szCs w:val="28"/>
        </w:rPr>
        <w:t>достоверных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количества налогоплательщиков налога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10B" w:rsidRPr="00166FC4" w:rsidRDefault="00A0310B" w:rsidP="00A0310B">
      <w:pPr>
        <w:spacing w:line="276" w:lineRule="auto"/>
        <w:ind w:firstLine="708"/>
        <w:jc w:val="both"/>
        <w:rPr>
          <w:sz w:val="16"/>
          <w:szCs w:val="16"/>
        </w:rPr>
      </w:pPr>
    </w:p>
    <w:p w:rsidR="00A0310B" w:rsidRDefault="00A0310B" w:rsidP="00A031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66FC4">
        <w:rPr>
          <w:rFonts w:eastAsiaTheme="minorHAnsi"/>
          <w:sz w:val="28"/>
          <w:szCs w:val="28"/>
          <w:lang w:eastAsia="en-US"/>
        </w:rPr>
        <w:t xml:space="preserve">Проверкой организации конкурсного отбора субъектов </w:t>
      </w:r>
      <w:r>
        <w:rPr>
          <w:rFonts w:eastAsiaTheme="minorHAnsi"/>
          <w:sz w:val="28"/>
          <w:szCs w:val="28"/>
          <w:lang w:eastAsia="en-US"/>
        </w:rPr>
        <w:t xml:space="preserve">МСП в проверяемом периоде 2024 года в целом нарушений </w:t>
      </w:r>
      <w:r w:rsidRPr="00C266ED">
        <w:rPr>
          <w:rFonts w:eastAsiaTheme="minorHAnsi"/>
          <w:b/>
          <w:i/>
          <w:sz w:val="28"/>
          <w:szCs w:val="28"/>
          <w:lang w:eastAsia="en-US"/>
        </w:rPr>
        <w:t>не установлено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310B" w:rsidRDefault="00A0310B" w:rsidP="00A031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тоже время обращено внимание администрации КМР на отсутствие</w:t>
      </w:r>
      <w:r w:rsidRPr="00166F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Положения, регулирующего полномочия и порядок работы Комиссии.</w:t>
      </w:r>
    </w:p>
    <w:p w:rsidR="00A0310B" w:rsidRDefault="00A0310B" w:rsidP="00A0310B">
      <w:pPr>
        <w:pStyle w:val="a6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4.2 Порядка предоставления субсидий, журнал регистрации документов на оказание финансовой поддержки уполномоченным органом администрации КМР </w:t>
      </w:r>
      <w:r>
        <w:rPr>
          <w:rFonts w:eastAsiaTheme="minorHAnsi"/>
          <w:b/>
          <w:i/>
          <w:sz w:val="28"/>
          <w:szCs w:val="28"/>
          <w:lang w:eastAsia="en-US"/>
        </w:rPr>
        <w:t>не прошнурован и не скреплен печатью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310B" w:rsidRDefault="00A0310B" w:rsidP="00A0310B">
      <w:pPr>
        <w:pStyle w:val="a6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В ходе проводимой проверки уполномоченным органом администрации КМР указанное нарушение было устранено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310B" w:rsidRDefault="00A0310B" w:rsidP="00A0310B">
      <w:pPr>
        <w:pStyle w:val="a6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нарушении пункта 4.4 Порядка предоставления субсидий, уполномоченный орган администрации КМР </w:t>
      </w:r>
      <w:r>
        <w:rPr>
          <w:rFonts w:eastAsiaTheme="minorHAnsi"/>
          <w:b/>
          <w:i/>
          <w:sz w:val="28"/>
          <w:szCs w:val="28"/>
          <w:lang w:eastAsia="en-US"/>
        </w:rPr>
        <w:t>не составлял</w:t>
      </w:r>
      <w:r>
        <w:rPr>
          <w:rFonts w:eastAsiaTheme="minorHAnsi"/>
          <w:sz w:val="28"/>
          <w:szCs w:val="28"/>
          <w:lang w:eastAsia="en-US"/>
        </w:rPr>
        <w:t xml:space="preserve"> заключение по итогам проверки документов, поступивших субъекта МСП. </w:t>
      </w:r>
    </w:p>
    <w:p w:rsidR="00A0310B" w:rsidRPr="009B7FD9" w:rsidRDefault="00A0310B" w:rsidP="00A031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0310B" w:rsidRDefault="00A0310B" w:rsidP="00A0310B">
      <w:pPr>
        <w:pStyle w:val="a6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2024 году </w:t>
      </w:r>
      <w:r w:rsidRPr="009B7FD9">
        <w:rPr>
          <w:rFonts w:eastAsiaTheme="minorHAnsi"/>
          <w:sz w:val="28"/>
          <w:szCs w:val="28"/>
          <w:lang w:eastAsia="en-US"/>
        </w:rPr>
        <w:t>по итогам перового тура</w:t>
      </w:r>
      <w:r>
        <w:rPr>
          <w:rFonts w:eastAsiaTheme="minorHAnsi"/>
          <w:sz w:val="28"/>
          <w:szCs w:val="28"/>
          <w:lang w:eastAsia="en-US"/>
        </w:rPr>
        <w:t xml:space="preserve"> подачи </w:t>
      </w:r>
      <w:proofErr w:type="gramStart"/>
      <w:r>
        <w:rPr>
          <w:rFonts w:eastAsiaTheme="minorHAnsi"/>
          <w:sz w:val="28"/>
          <w:szCs w:val="28"/>
          <w:lang w:eastAsia="en-US"/>
        </w:rPr>
        <w:t>документов  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с 1 по 31 мая) зарегистрирована одна заявка от субъекта МСП - ООО «Паритет» (социального предприятия) на возмещение части затрат в связи с оплатой 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коммунальных услуг в помещении, принадлежащим ему на праве собственности, которое используется им для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розничной торговли лекарственными средствами, а также косметическими товарами личной гигиены </w:t>
      </w:r>
      <w:r>
        <w:rPr>
          <w:rFonts w:eastAsiaTheme="minorHAnsi"/>
          <w:sz w:val="28"/>
          <w:szCs w:val="28"/>
          <w:lang w:eastAsia="en-US"/>
        </w:rPr>
        <w:t xml:space="preserve"> в специализированном магазине (аптеке), расположенной в </w:t>
      </w:r>
      <w:proofErr w:type="spellStart"/>
      <w:r>
        <w:rPr>
          <w:rFonts w:eastAsiaTheme="minorHAnsi"/>
          <w:sz w:val="28"/>
          <w:szCs w:val="28"/>
          <w:lang w:eastAsia="en-US"/>
        </w:rPr>
        <w:t>кп</w:t>
      </w:r>
      <w:proofErr w:type="spellEnd"/>
      <w:r>
        <w:rPr>
          <w:rFonts w:eastAsiaTheme="minorHAnsi"/>
          <w:sz w:val="28"/>
          <w:szCs w:val="28"/>
          <w:lang w:eastAsia="en-US"/>
        </w:rPr>
        <w:t>. Горные Ключи, ул. Юбилейная, д. 35.</w:t>
      </w:r>
    </w:p>
    <w:p w:rsidR="00A0310B" w:rsidRDefault="00A0310B" w:rsidP="00A0310B">
      <w:pPr>
        <w:pStyle w:val="a6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Стоит обратить внимание, что согласно пункту 1.7 Порядка предоставления субсидий реализация лекарственных средств, а также косметических товаров личной гигиены </w:t>
      </w:r>
      <w:r>
        <w:rPr>
          <w:rFonts w:eastAsiaTheme="minorHAnsi"/>
          <w:b/>
          <w:i/>
          <w:sz w:val="28"/>
          <w:szCs w:val="28"/>
          <w:lang w:eastAsia="en-US"/>
        </w:rPr>
        <w:t>не относится к приоритетным видам деятельности, имеющим преимущественное право</w:t>
      </w:r>
      <w:r>
        <w:rPr>
          <w:rFonts w:eastAsiaTheme="minorHAnsi"/>
          <w:sz w:val="28"/>
          <w:szCs w:val="28"/>
          <w:lang w:eastAsia="en-US"/>
        </w:rPr>
        <w:t xml:space="preserve"> на получение субсидий.</w:t>
      </w:r>
    </w:p>
    <w:p w:rsidR="00A0310B" w:rsidRDefault="00A0310B" w:rsidP="00A0310B">
      <w:pPr>
        <w:pStyle w:val="a6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Проверкой </w:t>
      </w:r>
      <w:r>
        <w:rPr>
          <w:rFonts w:eastAsiaTheme="minorHAnsi"/>
          <w:sz w:val="28"/>
          <w:szCs w:val="28"/>
          <w:lang w:eastAsia="en-US"/>
        </w:rPr>
        <w:t xml:space="preserve">документов, представленных ООО «Паритет» для получения субсидий на соответствие требованиям, предусмотренных пунктом 3.3 Порядка предоставления </w:t>
      </w:r>
      <w:proofErr w:type="gramStart"/>
      <w:r>
        <w:rPr>
          <w:rFonts w:eastAsiaTheme="minorHAnsi"/>
          <w:sz w:val="28"/>
          <w:szCs w:val="28"/>
          <w:lang w:eastAsia="en-US"/>
        </w:rPr>
        <w:t>субсидий,  нарушений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>не установлено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310B" w:rsidRDefault="00A0310B" w:rsidP="00A0310B">
      <w:pPr>
        <w:pStyle w:val="a6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 июня 2024 года бюджетные ассигнования в сумме </w:t>
      </w:r>
      <w:r>
        <w:rPr>
          <w:rFonts w:eastAsiaTheme="minorHAnsi"/>
          <w:b/>
          <w:i/>
          <w:sz w:val="28"/>
          <w:szCs w:val="28"/>
          <w:lang w:eastAsia="en-US"/>
        </w:rPr>
        <w:t>69,0 тыс. рублей</w:t>
      </w:r>
      <w:r>
        <w:rPr>
          <w:rFonts w:eastAsiaTheme="minorHAnsi"/>
          <w:sz w:val="28"/>
          <w:szCs w:val="28"/>
          <w:lang w:eastAsia="en-US"/>
        </w:rPr>
        <w:t xml:space="preserve"> перечислены получателю ООО «Паритет», в максимальном объеме, предусмотренном Программой. </w:t>
      </w:r>
    </w:p>
    <w:p w:rsidR="00A0310B" w:rsidRPr="00BB5B70" w:rsidRDefault="00A0310B" w:rsidP="00A031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0310B" w:rsidRDefault="00A0310B" w:rsidP="00A031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итогам второго тура подачи документов (с 1 по 30 сентября) </w:t>
      </w:r>
      <w:r w:rsidRPr="00BB5B70">
        <w:rPr>
          <w:rFonts w:eastAsiaTheme="minorHAnsi"/>
          <w:b/>
          <w:i/>
          <w:sz w:val="28"/>
          <w:szCs w:val="28"/>
          <w:lang w:eastAsia="en-US"/>
        </w:rPr>
        <w:t>не подано</w:t>
      </w:r>
      <w:r>
        <w:rPr>
          <w:rFonts w:eastAsiaTheme="minorHAnsi"/>
          <w:sz w:val="28"/>
          <w:szCs w:val="28"/>
          <w:lang w:eastAsia="en-US"/>
        </w:rPr>
        <w:t xml:space="preserve"> ни одной заявке на участие в конкурсном отборе, что указывает </w:t>
      </w:r>
      <w:r>
        <w:rPr>
          <w:rFonts w:eastAsiaTheme="minorHAnsi"/>
          <w:b/>
          <w:i/>
          <w:sz w:val="28"/>
          <w:szCs w:val="28"/>
          <w:lang w:eastAsia="en-US"/>
        </w:rPr>
        <w:t>о не востребованности</w:t>
      </w:r>
      <w:r>
        <w:rPr>
          <w:rFonts w:eastAsiaTheme="minorHAnsi"/>
          <w:sz w:val="28"/>
          <w:szCs w:val="28"/>
          <w:lang w:eastAsia="en-US"/>
        </w:rPr>
        <w:t xml:space="preserve"> бюджетных ассигнований в сумме 128,0 тыс. рублей или 65,0 % от запланированного объема (197,0 тыс. рублей) и </w:t>
      </w:r>
      <w:r>
        <w:rPr>
          <w:rFonts w:eastAsiaTheme="minorHAnsi"/>
          <w:b/>
          <w:i/>
          <w:sz w:val="28"/>
          <w:szCs w:val="28"/>
          <w:lang w:eastAsia="en-US"/>
        </w:rPr>
        <w:t>негативно отразится</w:t>
      </w:r>
      <w:r>
        <w:rPr>
          <w:rFonts w:eastAsiaTheme="minorHAnsi"/>
          <w:sz w:val="28"/>
          <w:szCs w:val="28"/>
          <w:lang w:eastAsia="en-US"/>
        </w:rPr>
        <w:t xml:space="preserve"> на оценке эффективности Программы в 2024 году.</w:t>
      </w:r>
    </w:p>
    <w:p w:rsidR="00A0310B" w:rsidRDefault="00A0310B" w:rsidP="00A031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информация о приеме документов размещена </w:t>
      </w:r>
      <w:proofErr w:type="gramStart"/>
      <w:r>
        <w:rPr>
          <w:rFonts w:eastAsiaTheme="minorHAnsi"/>
          <w:sz w:val="28"/>
          <w:szCs w:val="28"/>
          <w:lang w:eastAsia="en-US"/>
        </w:rPr>
        <w:t>в  газете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КОМПАС</w:t>
      </w:r>
      <w:r>
        <w:rPr>
          <w:rFonts w:eastAsiaTheme="minorHAnsi"/>
          <w:sz w:val="28"/>
          <w:szCs w:val="28"/>
          <w:lang w:val="en-US" w:eastAsia="en-US"/>
        </w:rPr>
        <w:t>info</w:t>
      </w:r>
      <w:r w:rsidRPr="001E561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>позднее срока</w:t>
      </w:r>
      <w:r>
        <w:rPr>
          <w:rFonts w:eastAsiaTheme="minorHAnsi"/>
          <w:sz w:val="28"/>
          <w:szCs w:val="28"/>
          <w:lang w:eastAsia="en-US"/>
        </w:rPr>
        <w:t xml:space="preserve"> начала подачи документов (4 сентября 2024 года).</w:t>
      </w:r>
    </w:p>
    <w:p w:rsidR="00A0310B" w:rsidRDefault="00A0310B" w:rsidP="00A0310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A0310B" w:rsidRDefault="00A0310B" w:rsidP="00A0310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проверкой установлено, что в нарушение пункта 1 статьи 8 </w:t>
      </w:r>
      <w:proofErr w:type="gramStart"/>
      <w:r>
        <w:rPr>
          <w:rFonts w:eastAsiaTheme="minorHAnsi"/>
          <w:sz w:val="28"/>
          <w:szCs w:val="28"/>
          <w:lang w:eastAsia="en-US"/>
        </w:rPr>
        <w:t>Закона  №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209-ФЗ,  сведения об оказании имущественной поддержки субъектам МСП </w:t>
      </w:r>
      <w:r>
        <w:rPr>
          <w:rFonts w:eastAsiaTheme="minorHAnsi"/>
          <w:b/>
          <w:i/>
          <w:sz w:val="28"/>
          <w:szCs w:val="28"/>
          <w:lang w:eastAsia="en-US"/>
        </w:rPr>
        <w:t>не внесены</w:t>
      </w:r>
      <w:r>
        <w:rPr>
          <w:rFonts w:eastAsiaTheme="minorHAnsi"/>
          <w:sz w:val="28"/>
          <w:szCs w:val="28"/>
          <w:lang w:eastAsia="en-US"/>
        </w:rPr>
        <w:t xml:space="preserve"> в единый реестр субъектов малого и среднего предпринимательства - получателей поддержки.</w:t>
      </w:r>
    </w:p>
    <w:p w:rsidR="00A0310B" w:rsidRDefault="00A0310B" w:rsidP="00A0310B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466A8E" w:rsidRDefault="00466A8E" w:rsidP="00A0310B">
      <w:pPr>
        <w:jc w:val="center"/>
        <w:rPr>
          <w:sz w:val="28"/>
          <w:szCs w:val="28"/>
        </w:rPr>
      </w:pPr>
    </w:p>
    <w:sectPr w:rsidR="0046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93"/>
    <w:rsid w:val="00466A8E"/>
    <w:rsid w:val="00A0310B"/>
    <w:rsid w:val="00D0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70093-9602-4F09-BBF9-3B03133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310B"/>
    <w:rPr>
      <w:color w:val="0044AA"/>
      <w:u w:val="single"/>
    </w:rPr>
  </w:style>
  <w:style w:type="paragraph" w:styleId="a4">
    <w:name w:val="No Spacing"/>
    <w:uiPriority w:val="1"/>
    <w:qFormat/>
    <w:rsid w:val="00A0310B"/>
    <w:pPr>
      <w:spacing w:after="0" w:line="240" w:lineRule="auto"/>
    </w:pPr>
  </w:style>
  <w:style w:type="character" w:customStyle="1" w:styleId="a5">
    <w:name w:val="Абзац списка Знак"/>
    <w:aliases w:val="Use Case List Paragraph Знак,ТЗ список Знак,Абзац списка литеральный Знак,Bullet List Знак,FooterText Знак,numbered Знак,Список дефисный Знак,Paragraphe de liste1 Знак,lp1 Знак,Маркер Знак,GOST_TableList Знак,it_List1 Знак"/>
    <w:link w:val="a6"/>
    <w:uiPriority w:val="34"/>
    <w:qFormat/>
    <w:locked/>
    <w:rsid w:val="00A03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Use Case List Paragraph,ТЗ список,Абзац списка литеральный,Bullet List,FooterText,numbered,Список дефисный,Paragraphe de liste1,lp1,Маркер,GOST_TableList,it_List1"/>
    <w:basedOn w:val="a"/>
    <w:link w:val="a5"/>
    <w:uiPriority w:val="34"/>
    <w:qFormat/>
    <w:rsid w:val="00A0310B"/>
    <w:pPr>
      <w:ind w:left="720"/>
      <w:contextualSpacing/>
    </w:pPr>
  </w:style>
  <w:style w:type="paragraph" w:customStyle="1" w:styleId="ConsPlusNormal">
    <w:name w:val="ConsPlusNormal"/>
    <w:uiPriority w:val="99"/>
    <w:rsid w:val="00A03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s://www.consultant.ru/document/cons_doc_LAW_465808/f9326f84473ca91312e73a717befd43c925de20f/" TargetMode="External"/><Relationship Id="rId4" Type="http://schemas.openxmlformats.org/officeDocument/2006/relationships/hyperlink" Target="https://www.consultant.ru/document/cons_doc_LAW_465808/84f68c8eba837777136e3fb2303a75f24d2db2e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1619</Words>
  <Characters>9231</Characters>
  <Application>Microsoft Office Word</Application>
  <DocSecurity>0</DocSecurity>
  <Lines>76</Lines>
  <Paragraphs>21</Paragraphs>
  <ScaleCrop>false</ScaleCrop>
  <Company/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2024-12-27T04:31:00Z</dcterms:created>
  <dcterms:modified xsi:type="dcterms:W3CDTF">2024-12-27T04:33:00Z</dcterms:modified>
</cp:coreProperties>
</file>