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056" w:rsidRPr="00602579" w:rsidRDefault="005C6056" w:rsidP="005C6056">
      <w:pPr>
        <w:tabs>
          <w:tab w:val="left" w:pos="3410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 краевой закон «О внесении изменений в Закон Приморского края «</w:t>
      </w:r>
      <w:bookmarkStart w:id="0" w:name="_GoBack"/>
      <w:r w:rsidRPr="005C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патентной системе налогообложения на территории Приморского края» на 2020 год</w:t>
      </w:r>
      <w:bookmarkEnd w:id="0"/>
    </w:p>
    <w:p w:rsidR="005C6056" w:rsidRPr="005C6056" w:rsidRDefault="005C6056" w:rsidP="00602579">
      <w:pPr>
        <w:tabs>
          <w:tab w:val="left" w:pos="567"/>
          <w:tab w:val="left" w:pos="3410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6056" w:rsidRPr="005C6056" w:rsidRDefault="00602579" w:rsidP="005C6056">
      <w:pPr>
        <w:tabs>
          <w:tab w:val="left" w:pos="341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C6056" w:rsidRPr="005C605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 Приморского края от 20.11.2019 № 628-КЗ (далее - Закон № 628-КЗ) вносятся изменения в краевой закон от 13.11.2012 № 122-КЗ «О патентной системе налогообложения на территории Приморского края", которые начинают действовать с 1 января 2020 года.</w:t>
      </w:r>
    </w:p>
    <w:p w:rsidR="005C6056" w:rsidRPr="005C6056" w:rsidRDefault="00602579" w:rsidP="00602579">
      <w:pPr>
        <w:tabs>
          <w:tab w:val="left" w:pos="567"/>
          <w:tab w:val="left" w:pos="709"/>
          <w:tab w:val="left" w:pos="341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5C6056" w:rsidRPr="005C6056">
        <w:rPr>
          <w:rFonts w:ascii="Times New Roman" w:eastAsia="Times New Roman" w:hAnsi="Times New Roman" w:cs="Times New Roman"/>
          <w:sz w:val="26"/>
          <w:szCs w:val="26"/>
          <w:lang w:eastAsia="ru-RU"/>
        </w:rPr>
        <w:t>Введены дополнительные ограничения по применению ПСН на территории Приморского края:</w:t>
      </w:r>
    </w:p>
    <w:p w:rsidR="005C6056" w:rsidRPr="005C6056" w:rsidRDefault="005C6056" w:rsidP="005C6056">
      <w:pPr>
        <w:tabs>
          <w:tab w:val="left" w:pos="341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6056">
        <w:rPr>
          <w:rFonts w:ascii="Times New Roman" w:eastAsia="Times New Roman" w:hAnsi="Times New Roman" w:cs="Times New Roman"/>
          <w:sz w:val="26"/>
          <w:szCs w:val="26"/>
          <w:lang w:eastAsia="ru-RU"/>
        </w:rPr>
        <w:t>1) по видам предпринимательской деятельности, указанным в подпунктах 10, 11, 32 и 33 пункта 2 статьи 346.43 НК РФ:</w:t>
      </w:r>
    </w:p>
    <w:p w:rsidR="005C6056" w:rsidRPr="005C6056" w:rsidRDefault="005C6056" w:rsidP="005C6056">
      <w:pPr>
        <w:tabs>
          <w:tab w:val="left" w:pos="341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6056">
        <w:rPr>
          <w:rFonts w:ascii="Times New Roman" w:eastAsia="Times New Roman" w:hAnsi="Times New Roman" w:cs="Times New Roman"/>
          <w:sz w:val="26"/>
          <w:szCs w:val="26"/>
          <w:lang w:eastAsia="ru-RU"/>
        </w:rPr>
        <w:t>-по общему количеству автотранспортных средств - не более 15;</w:t>
      </w:r>
    </w:p>
    <w:p w:rsidR="005C6056" w:rsidRPr="005C6056" w:rsidRDefault="005C6056" w:rsidP="005C6056">
      <w:pPr>
        <w:tabs>
          <w:tab w:val="left" w:pos="341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6056">
        <w:rPr>
          <w:rFonts w:ascii="Times New Roman" w:eastAsia="Times New Roman" w:hAnsi="Times New Roman" w:cs="Times New Roman"/>
          <w:sz w:val="26"/>
          <w:szCs w:val="26"/>
          <w:lang w:eastAsia="ru-RU"/>
        </w:rPr>
        <w:t>-по общему количеству судов водного транспорта - не более 10;</w:t>
      </w:r>
    </w:p>
    <w:p w:rsidR="005C6056" w:rsidRPr="00602579" w:rsidRDefault="005C6056" w:rsidP="005C6056">
      <w:pPr>
        <w:tabs>
          <w:tab w:val="left" w:pos="341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6056">
        <w:rPr>
          <w:rFonts w:ascii="Times New Roman" w:eastAsia="Times New Roman" w:hAnsi="Times New Roman" w:cs="Times New Roman"/>
          <w:sz w:val="26"/>
          <w:szCs w:val="26"/>
          <w:lang w:eastAsia="ru-RU"/>
        </w:rPr>
        <w:t>2) по виду предпринимательской деятельности, указанному в подпункте 19 пункта 2 статьи 346.43 НК РФ - не более 500 квадратных метров общей площади сдаваемых в аренду (наем) жилых и нежилых помещений, земельных участков, принадлежащих</w:t>
      </w:r>
      <w:r w:rsidR="00602579" w:rsidRPr="00602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6056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индивидуальному предпринимателю на праве собственности.</w:t>
      </w:r>
    </w:p>
    <w:p w:rsidR="00602579" w:rsidRPr="00602579" w:rsidRDefault="00602579" w:rsidP="00602579">
      <w:pPr>
        <w:tabs>
          <w:tab w:val="left" w:pos="709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Внесены изменения в порядок определения потенциально возможного к получению индивидуальным предпринимателем годового дохода по виду предпринимательской деятельности (далее – ПВД). По патентам, действующим с 01.01.2020, ПВД определяется:</w:t>
      </w:r>
    </w:p>
    <w:p w:rsidR="00602579" w:rsidRPr="00602579" w:rsidRDefault="00602579" w:rsidP="0060257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57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единицу средней численности наемных работников по видам деятельности, указанным в пунктах 1-9, 12-18, 20-31, 34-44, 49-63 приложения к Закону № 628-КЗ,</w:t>
      </w:r>
    </w:p>
    <w:p w:rsidR="00602579" w:rsidRPr="00602579" w:rsidRDefault="00602579" w:rsidP="0060257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57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единицу автотранспортных средств, судов водного транспорта, на 1 тонну грузоподъемности транспортных средств, на одно пассажирское место по видам деятельности, указанным в пунктах № 10, 11, 32, 33 приложения к Закону № 628-КЗ,</w:t>
      </w:r>
    </w:p>
    <w:p w:rsidR="00602579" w:rsidRPr="00602579" w:rsidRDefault="00602579" w:rsidP="0060257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57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1 квадратный метр площади сдаваемых в аренду (наем) жилых и нежилых помещений, земельных участков по видам деятельности, указанным в пунктах № 19, 45, 47 приложения к Закону № 628-КЗ,</w:t>
      </w:r>
    </w:p>
    <w:p w:rsidR="00602579" w:rsidRPr="00602579" w:rsidRDefault="00602579" w:rsidP="0060257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57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один объект стационарной (нестационарной) торговой сети, объект организации общественного по видам деятельности, указанным в пунктах № 46.1, 46.2, 46.3, 48 приложения к Закону № 628-КЗ.</w:t>
      </w:r>
    </w:p>
    <w:p w:rsidR="005C6056" w:rsidRPr="005C6056" w:rsidRDefault="00602579" w:rsidP="00602579">
      <w:pPr>
        <w:tabs>
          <w:tab w:val="left" w:pos="567"/>
          <w:tab w:val="left" w:pos="341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5C6056" w:rsidRPr="005C6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того с 01.01.2020 года произошло изменение состава отдельных территорий действия патента, так Кировский муниципальный район перенесен из 4 группы в 7, а </w:t>
      </w:r>
      <w:proofErr w:type="spellStart"/>
      <w:r w:rsidR="005C6056" w:rsidRPr="005C6056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Дальнереченский</w:t>
      </w:r>
      <w:proofErr w:type="spellEnd"/>
      <w:r w:rsidR="005C6056" w:rsidRPr="005C6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муниципальный район перенесен из 6 группы в 7.</w:t>
      </w:r>
    </w:p>
    <w:p w:rsidR="001B07AC" w:rsidRDefault="001B07AC"/>
    <w:sectPr w:rsidR="001B0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56"/>
    <w:rsid w:val="001B07AC"/>
    <w:rsid w:val="005321FA"/>
    <w:rsid w:val="005C6056"/>
    <w:rsid w:val="0060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Тищенко Елена Владимировна</dc:creator>
  <cp:lastModifiedBy>Тищенко Елена Владимировна</cp:lastModifiedBy>
  <cp:revision>2</cp:revision>
  <cp:lastPrinted>2019-12-05T01:26:00Z</cp:lastPrinted>
  <dcterms:created xsi:type="dcterms:W3CDTF">2019-12-23T02:41:00Z</dcterms:created>
  <dcterms:modified xsi:type="dcterms:W3CDTF">2019-12-23T02:41:00Z</dcterms:modified>
</cp:coreProperties>
</file>